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36DA227" w:rsidR="00AF679A" w:rsidRPr="00480AFA" w:rsidRDefault="005F0829" w:rsidP="00480AFA">
      <w:pPr>
        <w:spacing w:after="240" w:line="360" w:lineRule="auto"/>
        <w:jc w:val="right"/>
        <w:rPr>
          <w:rFonts w:cs="Arial"/>
          <w:szCs w:val="24"/>
        </w:rPr>
      </w:pPr>
      <w:r w:rsidRPr="00480AFA">
        <w:rPr>
          <w:rFonts w:cs="Arial"/>
          <w:szCs w:val="24"/>
        </w:rPr>
        <w:t>Załącznik nr II.</w:t>
      </w:r>
      <w:r w:rsidR="62B4FB34" w:rsidRPr="00480AFA">
        <w:rPr>
          <w:rFonts w:cs="Arial"/>
          <w:szCs w:val="24"/>
        </w:rPr>
        <w:t>13</w:t>
      </w:r>
      <w:r w:rsidRPr="00480AFA">
        <w:rPr>
          <w:rFonts w:cs="Arial"/>
        </w:rPr>
        <w:br/>
      </w:r>
      <w:r w:rsidRPr="00480AFA">
        <w:rPr>
          <w:rFonts w:cs="Arial"/>
          <w:szCs w:val="24"/>
        </w:rPr>
        <w:t xml:space="preserve">do Standardu organizacyjnego AZW (Moduł II. </w:t>
      </w:r>
      <w:r w:rsidR="6BD43825" w:rsidRPr="00480AFA">
        <w:rPr>
          <w:rFonts w:cs="Arial"/>
          <w:szCs w:val="24"/>
        </w:rPr>
        <w:t>AZW</w:t>
      </w:r>
      <w:r w:rsidRPr="00480AFA">
        <w:rPr>
          <w:rFonts w:cs="Arial"/>
          <w:szCs w:val="24"/>
        </w:rPr>
        <w:t>)</w:t>
      </w:r>
    </w:p>
    <w:p w14:paraId="00000002" w14:textId="77777777" w:rsidR="00AF679A" w:rsidRPr="00E21DAE" w:rsidRDefault="005F0829" w:rsidP="00E21DAE">
      <w:pPr>
        <w:pStyle w:val="Nagwek1"/>
      </w:pPr>
      <w:r w:rsidRPr="00E21DAE">
        <w:t>System oceny kadry AZW</w:t>
      </w:r>
    </w:p>
    <w:p w14:paraId="00000003" w14:textId="77777777" w:rsidR="00AF679A" w:rsidRPr="00480AFA" w:rsidRDefault="005F0829" w:rsidP="00480AFA">
      <w:pPr>
        <w:pStyle w:val="Nagwek2"/>
        <w:spacing w:line="360" w:lineRule="auto"/>
        <w:rPr>
          <w:rFonts w:cs="Arial"/>
        </w:rPr>
      </w:pPr>
      <w:r w:rsidRPr="00480AFA">
        <w:rPr>
          <w:rFonts w:cs="Arial"/>
        </w:rPr>
        <w:t>Wprowadzenie</w:t>
      </w:r>
    </w:p>
    <w:p w14:paraId="00000004" w14:textId="55C5F1BF" w:rsidR="00AF679A" w:rsidRPr="00480AFA" w:rsidRDefault="005F0829" w:rsidP="00480AFA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 xml:space="preserve">Niniejszy dokument przedstawia kompleksowy </w:t>
      </w:r>
      <w:r w:rsidR="1A4F2A99" w:rsidRPr="00480AFA">
        <w:rPr>
          <w:rFonts w:cs="Arial"/>
          <w:color w:val="000000" w:themeColor="text1"/>
          <w:szCs w:val="24"/>
        </w:rPr>
        <w:t>s</w:t>
      </w:r>
      <w:r w:rsidRPr="00480AFA">
        <w:rPr>
          <w:rFonts w:cs="Arial"/>
          <w:color w:val="000000" w:themeColor="text1"/>
          <w:szCs w:val="24"/>
        </w:rPr>
        <w:t>ystem oceny kadry AZW, którego celem jest uporządkowanie procesu oceny kompetencji, postawy i wyników pracy specjalistów, a</w:t>
      </w:r>
      <w:r w:rsidR="00480AFA" w:rsidRPr="00480AFA">
        <w:rPr>
          <w:rFonts w:cs="Arial"/>
          <w:color w:val="000000" w:themeColor="text1"/>
          <w:szCs w:val="24"/>
        </w:rPr>
        <w:t> </w:t>
      </w:r>
      <w:r w:rsidRPr="00480AFA">
        <w:rPr>
          <w:rFonts w:cs="Arial"/>
          <w:color w:val="000000" w:themeColor="text1"/>
          <w:szCs w:val="24"/>
        </w:rPr>
        <w:t>także wspieranie ich w doskonaleniu umiejętności zgodnych ze standardami MZW.</w:t>
      </w:r>
    </w:p>
    <w:p w14:paraId="00000005" w14:textId="68E18E5D" w:rsidR="00AF679A" w:rsidRPr="00480AFA" w:rsidRDefault="005F0829" w:rsidP="00480AFA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System oceny jest nierozerwalnie powiązany z procesem budowania jakości oraz</w:t>
      </w:r>
      <w:r w:rsidR="00480AFA" w:rsidRPr="00480AFA">
        <w:rPr>
          <w:rFonts w:cs="Arial"/>
          <w:color w:val="000000"/>
          <w:szCs w:val="24"/>
        </w:rPr>
        <w:t> </w:t>
      </w:r>
      <w:r w:rsidRPr="00480AFA">
        <w:rPr>
          <w:rFonts w:cs="Arial"/>
          <w:color w:val="000000"/>
          <w:szCs w:val="24"/>
        </w:rPr>
        <w:t>z</w:t>
      </w:r>
      <w:r w:rsidR="00480AFA" w:rsidRPr="00480AFA">
        <w:rPr>
          <w:rFonts w:cs="Arial"/>
          <w:color w:val="000000"/>
          <w:szCs w:val="24"/>
        </w:rPr>
        <w:t> </w:t>
      </w:r>
      <w:r w:rsidRPr="00480AFA">
        <w:rPr>
          <w:rFonts w:cs="Arial"/>
          <w:color w:val="000000"/>
          <w:szCs w:val="24"/>
        </w:rPr>
        <w:t>kultury organizacyjnej AZW – wspierającej etykę pracy, współpracę w zespole, postawę proinkluzywną oraz zaangażowanie w stałe doskonalenie kompetencji.</w:t>
      </w:r>
    </w:p>
    <w:p w14:paraId="00000006" w14:textId="301F688B" w:rsidR="00AF679A" w:rsidRPr="00480AFA" w:rsidRDefault="005F0829" w:rsidP="00480AFA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>Integralnym elementem systemu są również procedury towarzyszące procesowi oceny: zasady samooceny, spotkania oceniającego, możliwości odwoławcze, poufność danych oraz działania po ocenie obejmujące monitorowanie wdrażanych planów rozwoju. System oceny pełni zatem podwójną funkcję – diagnozującą oraz rozwojową, wspierając zarówno AZW, jak i poszczególnych specjalistów w realizacji misji zatrudnienia wspomaganego.</w:t>
      </w:r>
    </w:p>
    <w:p w14:paraId="00000007" w14:textId="425243C5" w:rsidR="00AF679A" w:rsidRPr="00480AFA" w:rsidRDefault="005F0829" w:rsidP="00435893">
      <w:pPr>
        <w:pStyle w:val="Nagwek2"/>
        <w:numPr>
          <w:ilvl w:val="0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t>Cel systemu</w:t>
      </w:r>
    </w:p>
    <w:p w14:paraId="00000008" w14:textId="77777777" w:rsidR="00AF679A" w:rsidRPr="00480AFA" w:rsidRDefault="005F0829" w:rsidP="00480AFA">
      <w:pPr>
        <w:spacing w:after="240" w:line="360" w:lineRule="auto"/>
        <w:rPr>
          <w:rFonts w:cs="Arial"/>
        </w:rPr>
      </w:pPr>
      <w:r w:rsidRPr="00480AFA">
        <w:rPr>
          <w:rFonts w:cs="Arial"/>
          <w:szCs w:val="24"/>
        </w:rPr>
        <w:t>Zapewnienie obiektywnej, transparentnej i motywującej oceny osiągnięć, kompetencji oraz potencjału rozwojowego kadry AZW w celu wspierania rozwoju indywidualnego i zespołowego.</w:t>
      </w:r>
    </w:p>
    <w:p w14:paraId="00000009" w14:textId="0118D3DB" w:rsidR="00AF679A" w:rsidRPr="00480AFA" w:rsidRDefault="005F0829" w:rsidP="00435893">
      <w:pPr>
        <w:pStyle w:val="Nagwek2"/>
        <w:numPr>
          <w:ilvl w:val="0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t>Zakres stosowania</w:t>
      </w:r>
    </w:p>
    <w:p w14:paraId="0000000A" w14:textId="77777777" w:rsidR="00AF679A" w:rsidRP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System dotyczy kadry AZW (niezależnie od stanowiska), działu czy lokalizacji, które AZW uznaje za kluczowe do realizacji usług zatrudnienia wspomaganego.</w:t>
      </w:r>
    </w:p>
    <w:p w14:paraId="08E71CA5" w14:textId="77777777" w:rsid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 xml:space="preserve">Ocena kompetencji specjalistów odbywa się według decyzji AZW i może być stosowana w zależności od potrzeb rozwojowych oraz specyfiki pełnionych funkcji. </w:t>
      </w:r>
      <w:r w:rsidR="00480AFA" w:rsidRPr="00480AFA">
        <w:rPr>
          <w:rFonts w:cs="Arial"/>
          <w:b/>
          <w:bCs/>
          <w:szCs w:val="24"/>
        </w:rPr>
        <w:t xml:space="preserve">(Ważne) </w:t>
      </w:r>
      <w:r w:rsidRPr="00480AFA">
        <w:rPr>
          <w:rFonts w:cs="Arial"/>
          <w:b/>
          <w:bCs/>
          <w:szCs w:val="24"/>
        </w:rPr>
        <w:t xml:space="preserve">W przypadku </w:t>
      </w:r>
      <w:r w:rsidR="2370D529" w:rsidRPr="00480AFA">
        <w:rPr>
          <w:rFonts w:cs="Arial"/>
          <w:b/>
          <w:bCs/>
          <w:szCs w:val="24"/>
        </w:rPr>
        <w:t>t</w:t>
      </w:r>
      <w:r w:rsidRPr="00480AFA">
        <w:rPr>
          <w:rFonts w:cs="Arial"/>
          <w:b/>
          <w:bCs/>
          <w:szCs w:val="24"/>
        </w:rPr>
        <w:t>renerów pracy ocena jest obowiązkowa</w:t>
      </w:r>
      <w:r w:rsidRPr="00480AFA">
        <w:rPr>
          <w:rFonts w:cs="Arial"/>
          <w:szCs w:val="24"/>
        </w:rPr>
        <w:t xml:space="preserve">, co wynika z istotnej roli tej grupy w bezpośrednim </w:t>
      </w:r>
      <w:r w:rsidRPr="00480AFA">
        <w:rPr>
          <w:rFonts w:cs="Arial"/>
          <w:szCs w:val="24"/>
        </w:rPr>
        <w:lastRenderedPageBreak/>
        <w:t>wsparciu osób z niepełnosprawnością i konieczności zapewnienia wysokiej jakości realizowanych usług zatrudnienia wspomaganego.</w:t>
      </w:r>
    </w:p>
    <w:p w14:paraId="0000000C" w14:textId="01740FA5" w:rsidR="00AF679A" w:rsidRPr="00480AFA" w:rsidRDefault="005F0829" w:rsidP="004764B5">
      <w:pPr>
        <w:pStyle w:val="Nagwek3"/>
        <w:numPr>
          <w:ilvl w:val="1"/>
          <w:numId w:val="10"/>
        </w:numPr>
      </w:pPr>
      <w:r w:rsidRPr="00480AFA">
        <w:t>Cel oceny</w:t>
      </w:r>
    </w:p>
    <w:p w14:paraId="0000000D" w14:textId="77777777" w:rsidR="00AF679A" w:rsidRP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AZW zarówno ocenę okresową, jak i bieżące monitorowanie jakości pracy. Ocena stanowi podstawę do planowania rozwoju oraz decyzji kadrowych:</w:t>
      </w:r>
    </w:p>
    <w:p w14:paraId="0000000E" w14:textId="77777777" w:rsidR="00AF679A" w:rsidRPr="00480AFA" w:rsidRDefault="005F0829" w:rsidP="00480A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b/>
          <w:bCs/>
          <w:color w:val="000000"/>
          <w:szCs w:val="24"/>
        </w:rPr>
        <w:t>ocena jakości i efektywności pracy</w:t>
      </w:r>
      <w:r w:rsidRPr="00480AFA">
        <w:rPr>
          <w:rFonts w:cs="Arial"/>
          <w:color w:val="000000"/>
          <w:szCs w:val="24"/>
        </w:rPr>
        <w:t xml:space="preserve"> - ewaluacja jakościowa i efektywnościowa realizowanych zadań zawodowych,</w:t>
      </w:r>
    </w:p>
    <w:p w14:paraId="0000000F" w14:textId="77777777" w:rsidR="00AF679A" w:rsidRPr="00480AFA" w:rsidRDefault="005F0829" w:rsidP="00480A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b/>
          <w:bCs/>
          <w:color w:val="000000"/>
          <w:szCs w:val="24"/>
        </w:rPr>
        <w:t>ocena kompetencyjna</w:t>
      </w:r>
      <w:r w:rsidRPr="00480AFA">
        <w:rPr>
          <w:rFonts w:cs="Arial"/>
          <w:color w:val="000000"/>
          <w:szCs w:val="24"/>
        </w:rPr>
        <w:t xml:space="preserve"> - ocena kompetencyjna ukierunkowana na rozwój zawodowy,</w:t>
      </w:r>
    </w:p>
    <w:p w14:paraId="00000010" w14:textId="77777777" w:rsidR="00AF679A" w:rsidRPr="00480AFA" w:rsidRDefault="005F0829" w:rsidP="00480A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b/>
          <w:bCs/>
          <w:color w:val="000000"/>
          <w:szCs w:val="24"/>
        </w:rPr>
        <w:t xml:space="preserve">ocena awansowa </w:t>
      </w:r>
      <w:r w:rsidRPr="00480AFA">
        <w:rPr>
          <w:rFonts w:cs="Arial"/>
          <w:color w:val="000000"/>
          <w:szCs w:val="24"/>
        </w:rPr>
        <w:t>–  ocena kwalifikacyjna na potrzeby decyzji awansowych,</w:t>
      </w:r>
    </w:p>
    <w:p w14:paraId="00000011" w14:textId="77777777" w:rsidR="00AF679A" w:rsidRPr="00480AFA" w:rsidRDefault="005F0829" w:rsidP="00480A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b/>
          <w:bCs/>
          <w:color w:val="000000"/>
          <w:szCs w:val="24"/>
        </w:rPr>
        <w:t xml:space="preserve">inna </w:t>
      </w:r>
      <w:r w:rsidRPr="00480AFA">
        <w:rPr>
          <w:rFonts w:cs="Arial"/>
          <w:color w:val="000000"/>
          <w:szCs w:val="24"/>
        </w:rPr>
        <w:t>– ocena na inne potrzeby AZW.</w:t>
      </w:r>
    </w:p>
    <w:p w14:paraId="00000012" w14:textId="465B4D9C" w:rsidR="00AF679A" w:rsidRPr="00480AFA" w:rsidRDefault="005F0829" w:rsidP="004764B5">
      <w:pPr>
        <w:pStyle w:val="Nagwek3"/>
        <w:numPr>
          <w:ilvl w:val="1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t>Częstotliwość oceny</w:t>
      </w:r>
    </w:p>
    <w:p w14:paraId="00000013" w14:textId="605ADF6E" w:rsidR="00AF679A" w:rsidRPr="00480AFA" w:rsidRDefault="005F0829" w:rsidP="00480AFA">
      <w:pPr>
        <w:spacing w:after="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Ocena może zostać przeprowadzona w dowolnym momencie (według potrzeb AZW), ale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system zakłada, że AZW przeprowadza:</w:t>
      </w:r>
    </w:p>
    <w:p w14:paraId="00000014" w14:textId="193A6072" w:rsidR="00AF679A" w:rsidRPr="00480AFA" w:rsidRDefault="005F0829" w:rsidP="00480A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b/>
          <w:bCs/>
          <w:color w:val="000000" w:themeColor="text1"/>
          <w:szCs w:val="24"/>
        </w:rPr>
        <w:t xml:space="preserve">ocenę roczną </w:t>
      </w:r>
      <w:r w:rsidRPr="00480AFA">
        <w:rPr>
          <w:rFonts w:cs="Arial"/>
          <w:color w:val="000000" w:themeColor="text1"/>
          <w:szCs w:val="24"/>
        </w:rPr>
        <w:t>– obowiązkowo</w:t>
      </w:r>
      <w:r w:rsidR="00480AFA">
        <w:rPr>
          <w:rFonts w:cs="Arial"/>
          <w:color w:val="000000" w:themeColor="text1"/>
          <w:szCs w:val="24"/>
        </w:rPr>
        <w:t>,</w:t>
      </w:r>
    </w:p>
    <w:p w14:paraId="00000015" w14:textId="77777777" w:rsidR="00AF679A" w:rsidRPr="00480AFA" w:rsidRDefault="005F0829" w:rsidP="00480A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425"/>
        <w:rPr>
          <w:rFonts w:cs="Arial"/>
          <w:b/>
          <w:bCs/>
          <w:color w:val="000000"/>
          <w:szCs w:val="24"/>
        </w:rPr>
      </w:pPr>
      <w:r w:rsidRPr="00480AFA">
        <w:rPr>
          <w:rFonts w:cs="Arial"/>
          <w:b/>
          <w:bCs/>
          <w:color w:val="000000"/>
          <w:szCs w:val="24"/>
        </w:rPr>
        <w:t xml:space="preserve">ocena półroczna </w:t>
      </w:r>
      <w:r w:rsidRPr="00480AFA">
        <w:rPr>
          <w:rFonts w:cs="Arial"/>
          <w:color w:val="000000"/>
          <w:szCs w:val="24"/>
        </w:rPr>
        <w:t>– według preferencji/potrzeb AZW,</w:t>
      </w:r>
    </w:p>
    <w:p w14:paraId="00000016" w14:textId="77777777" w:rsidR="00AF679A" w:rsidRPr="00480AFA" w:rsidRDefault="005F0829" w:rsidP="00480A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hanging="425"/>
        <w:rPr>
          <w:rFonts w:cs="Arial"/>
        </w:rPr>
      </w:pPr>
      <w:r w:rsidRPr="00480AFA">
        <w:rPr>
          <w:rFonts w:cs="Arial"/>
          <w:b/>
          <w:bCs/>
          <w:color w:val="000000"/>
          <w:szCs w:val="24"/>
        </w:rPr>
        <w:t xml:space="preserve">inna </w:t>
      </w:r>
      <w:r w:rsidRPr="00480AFA">
        <w:rPr>
          <w:rFonts w:cs="Arial"/>
          <w:color w:val="000000"/>
          <w:szCs w:val="24"/>
        </w:rPr>
        <w:t>– według preferencji/potrzeb AZW.</w:t>
      </w:r>
    </w:p>
    <w:p w14:paraId="00000017" w14:textId="60801015" w:rsidR="00AF679A" w:rsidRPr="00480AFA" w:rsidRDefault="005F0829" w:rsidP="00435893">
      <w:pPr>
        <w:pStyle w:val="Nagwek2"/>
        <w:numPr>
          <w:ilvl w:val="0"/>
          <w:numId w:val="10"/>
        </w:numPr>
        <w:spacing w:before="240" w:line="360" w:lineRule="auto"/>
        <w:rPr>
          <w:rFonts w:cs="Arial"/>
        </w:rPr>
      </w:pPr>
      <w:bookmarkStart w:id="0" w:name="_heading=h.sdw2libs73xw" w:colFirst="0" w:colLast="0"/>
      <w:bookmarkEnd w:id="0"/>
      <w:r w:rsidRPr="00480AFA">
        <w:rPr>
          <w:rFonts w:cs="Arial"/>
        </w:rPr>
        <w:t>Obszary oceny</w:t>
      </w:r>
    </w:p>
    <w:p w14:paraId="00000018" w14:textId="6A34CFAD" w:rsidR="00AF679A" w:rsidRP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Ocena kadry AZW opiera się na jasno zdefiniowanych obszarach kompetencyjnych, które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odzwierciedlają pełen zakres odpowiedzialności zawodowych, jakości świadczonych usług oraz postaw wymaganych w MZW. Wyodrębnienie tych obszarów ma na celu zapewnienie obiektywności, przejrzystości i porównywalności ocen, a także umożliwia systematyczną analizę mocnych stron specjalisty oraz identyfikację obszarów wymagających dalszego rozwoju.</w:t>
      </w:r>
    </w:p>
    <w:p w14:paraId="40633986" w14:textId="39A2A731" w:rsid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Każdy z obszarów oceny obejmuje zestaw szczegółowych wskaźników oraz opisów pożądanych zachowań, które pozwalają ocenić zarówno rezultaty pracy, jak i sposób ich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osiągania.</w:t>
      </w:r>
      <w:r w:rsidR="00480AFA">
        <w:rPr>
          <w:rFonts w:cs="Arial"/>
          <w:szCs w:val="24"/>
        </w:rPr>
        <w:br w:type="page"/>
      </w:r>
    </w:p>
    <w:p w14:paraId="788CA16B" w14:textId="55F558F9" w:rsid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lastRenderedPageBreak/>
        <w:t>Taki podział uwzględnia zarówno wymiar merytoryczny i efektywnościowy pracy specjalisty, jak również jego kompetencje interpersonalne, postawę etyczną, gotowość do współpracy oraz nastawienie na rozwój zawodowy.</w:t>
      </w:r>
    </w:p>
    <w:p w14:paraId="00000019" w14:textId="365867A3" w:rsidR="00AF679A" w:rsidRP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Struktura ta odzwierciedla kluczowe wartości AZW oraz standardy MZW, które zakładają całościowe i wszechstronne podejście do profesjonalizacji pracy specjalisty AZW.</w:t>
      </w:r>
    </w:p>
    <w:p w14:paraId="0000001A" w14:textId="5DF565F1" w:rsidR="00AF679A" w:rsidRP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W ramach systemu uwzględniono cztery główne obszary kompetencyjne, podlegające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ocenie:</w:t>
      </w:r>
    </w:p>
    <w:p w14:paraId="0000001B" w14:textId="15350EBD" w:rsidR="00AF679A" w:rsidRPr="00480AFA" w:rsidRDefault="005F0829" w:rsidP="00480A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wyniki pracy,</w:t>
      </w:r>
    </w:p>
    <w:p w14:paraId="0000001C" w14:textId="1802CBF8" w:rsidR="00AF679A" w:rsidRPr="00480AFA" w:rsidRDefault="005F0829" w:rsidP="00480A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kompetencje zawodowe,</w:t>
      </w:r>
    </w:p>
    <w:p w14:paraId="0000001D" w14:textId="77777777" w:rsidR="00AF679A" w:rsidRPr="00480AFA" w:rsidRDefault="005F0829" w:rsidP="00480A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postawa i zaangażowanie,</w:t>
      </w:r>
    </w:p>
    <w:p w14:paraId="0000001E" w14:textId="3202299A" w:rsidR="00AF679A" w:rsidRPr="00480AFA" w:rsidRDefault="005F0829" w:rsidP="00480A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hanging="425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rozwój i potencjał.</w:t>
      </w:r>
    </w:p>
    <w:p w14:paraId="0000001F" w14:textId="0DCF8A5D" w:rsidR="00AF679A" w:rsidRP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Każdy z powyższych obszarów pełni istotną funkcję w całościowej ocenie specjalisty, a ich łączne uwzględnienie pozwala na stworzenie pełnego i rzetelnego obrazu jakości pracy. Dzięki takiej strukturze proces oceny wspiera nie tylko bieżące monitorowanie efektów, lecz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także długofalowe planowanie rozwoju kadry oraz wzmacnianie standardów usług zatrudnienia wspomaganego.</w:t>
      </w:r>
    </w:p>
    <w:p w14:paraId="00000020" w14:textId="25CDE6B8" w:rsidR="00AF679A" w:rsidRPr="00480AFA" w:rsidRDefault="005F0829" w:rsidP="004764B5">
      <w:pPr>
        <w:pStyle w:val="Nagwek3"/>
        <w:numPr>
          <w:ilvl w:val="1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t>Wyniki pracy</w:t>
      </w:r>
    </w:p>
    <w:p w14:paraId="00000021" w14:textId="4357D40F" w:rsidR="00AF679A" w:rsidRPr="00480AFA" w:rsidRDefault="005F0829" w:rsidP="00480AFA">
      <w:pPr>
        <w:spacing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Obszar „Wyniki pracy” obejmuje ocenę efektywności działań specjalisty oraz ich wpływu na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przebieg i rezultaty procesu zatrudnienia wspomaganego. W centrum znajduje się zarówno jakość codziennej pracy, jak i osiągnięcia mierzalne – takie jak liczba klientów, którzy podjęli i utrzymali zatrudnienie, skuteczność interwencji czy solidność prowadzonej dokumentacji. Wskaźniki w tym obszarze pozwalają określić, w jakim stopniu specjalista realizuje cele, terminowo wykonuje zadania oraz utrzymuje właściwy standard współpracy z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pracodawcami i partnerami instytucjonalnymi.</w:t>
      </w:r>
    </w:p>
    <w:p w14:paraId="00000022" w14:textId="7AB1931C" w:rsidR="00AF679A" w:rsidRPr="00480AFA" w:rsidRDefault="005F0829" w:rsidP="00480AFA">
      <w:pPr>
        <w:spacing w:after="240" w:line="360" w:lineRule="auto"/>
        <w:rPr>
          <w:rFonts w:cs="Arial"/>
          <w:szCs w:val="24"/>
        </w:rPr>
        <w:sectPr w:rsidR="00AF679A" w:rsidRPr="00480AFA">
          <w:headerReference w:type="default" r:id="rId12"/>
          <w:footerReference w:type="default" r:id="rId13"/>
          <w:pgSz w:w="11906" w:h="16840"/>
          <w:pgMar w:top="1134" w:right="1021" w:bottom="1276" w:left="1021" w:header="142" w:footer="187" w:gutter="0"/>
          <w:cols w:space="708"/>
        </w:sectPr>
      </w:pPr>
      <w:r w:rsidRPr="00480AFA">
        <w:rPr>
          <w:rFonts w:cs="Arial"/>
          <w:szCs w:val="24"/>
        </w:rPr>
        <w:t>Szczegółowe zachowania pożądane pokazują, jak specjalista powinien planować działania, monitorować postępy i reagować na pojawiające się trudności. Nacisk położono także na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 xml:space="preserve">zdolność identyfikowania barier oraz proponowania adekwatnych rozwiązań. Obszar ten ma wyjątkowe znaczenie, ponieważ bezpośrednio odzwierciedla efektywność i jakość </w:t>
      </w:r>
      <w:r w:rsidRPr="00480AFA">
        <w:rPr>
          <w:rFonts w:cs="Arial"/>
          <w:szCs w:val="24"/>
        </w:rPr>
        <w:lastRenderedPageBreak/>
        <w:t>świadczonego wsparcia, a tym samym wpływa na sukces osoby z niepełnosprawnością na</w:t>
      </w:r>
      <w:r w:rsidR="00480AFA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otwartym rynku pracy.</w:t>
      </w:r>
    </w:p>
    <w:p w14:paraId="64A155E9" w14:textId="23F0A170" w:rsidR="00480AFA" w:rsidRPr="00CA5996" w:rsidRDefault="00480AFA" w:rsidP="00480AFA">
      <w:pPr>
        <w:pStyle w:val="Legenda"/>
        <w:keepNext/>
      </w:pPr>
      <w:bookmarkStart w:id="1" w:name="_Toc225847064"/>
      <w:bookmarkStart w:id="2" w:name="_Toc227166522"/>
      <w:r w:rsidRPr="00CA5996">
        <w:lastRenderedPageBreak/>
        <w:t xml:space="preserve">Tabela </w:t>
      </w:r>
      <w:r w:rsidR="00435893" w:rsidRPr="00CA5996">
        <w:fldChar w:fldCharType="begin"/>
      </w:r>
      <w:r w:rsidR="00435893" w:rsidRPr="00CA5996">
        <w:instrText xml:space="preserve"> SEQ Tabela \* ARABIC </w:instrText>
      </w:r>
      <w:r w:rsidR="00435893" w:rsidRPr="00CA5996">
        <w:fldChar w:fldCharType="separate"/>
      </w:r>
      <w:r w:rsidR="00435893" w:rsidRPr="00CA5996">
        <w:rPr>
          <w:noProof/>
        </w:rPr>
        <w:t>1</w:t>
      </w:r>
      <w:bookmarkEnd w:id="1"/>
      <w:r w:rsidR="00435893" w:rsidRPr="00CA5996">
        <w:rPr>
          <w:noProof/>
        </w:rPr>
        <w:fldChar w:fldCharType="end"/>
      </w:r>
      <w:r w:rsidR="00CA5996">
        <w:rPr>
          <w:noProof/>
        </w:rPr>
        <w:t>. Obszary oceny</w:t>
      </w:r>
      <w:bookmarkEnd w:id="2"/>
    </w:p>
    <w:tbl>
      <w:tblPr>
        <w:tblStyle w:val="a7"/>
        <w:tblW w:w="1630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127"/>
        <w:gridCol w:w="2552"/>
        <w:gridCol w:w="2835"/>
        <w:gridCol w:w="8787"/>
      </w:tblGrid>
      <w:tr w:rsidR="00AF679A" w:rsidRPr="00480AFA" w14:paraId="0DCE458F" w14:textId="77777777" w:rsidTr="00435893">
        <w:trPr>
          <w:trHeight w:val="340"/>
          <w:tblHeader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00000024" w14:textId="77777777" w:rsidR="00AF679A" w:rsidRPr="00480AFA" w:rsidRDefault="005F0829" w:rsidP="00480AFA">
            <w:pPr>
              <w:spacing w:line="360" w:lineRule="auto"/>
              <w:rPr>
                <w:rFonts w:eastAsia="Aptos" w:cs="Arial"/>
                <w:b/>
                <w:bCs/>
                <w:sz w:val="22"/>
                <w:szCs w:val="22"/>
              </w:rPr>
            </w:pPr>
            <w:r w:rsidRPr="00480AFA">
              <w:rPr>
                <w:rFonts w:eastAsia="Aptos" w:cs="Arial"/>
                <w:b/>
                <w:bCs/>
                <w:sz w:val="22"/>
                <w:szCs w:val="22"/>
              </w:rPr>
              <w:t>Definicja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00000025" w14:textId="77777777" w:rsidR="00AF679A" w:rsidRPr="00480AFA" w:rsidRDefault="005F0829" w:rsidP="00480AFA">
            <w:pPr>
              <w:spacing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b/>
                <w:bCs/>
                <w:sz w:val="22"/>
                <w:szCs w:val="22"/>
              </w:rPr>
              <w:t>Wskaźnik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00000026" w14:textId="77777777" w:rsidR="00AF679A" w:rsidRPr="00480AFA" w:rsidRDefault="005F0829" w:rsidP="00480AFA">
            <w:pPr>
              <w:spacing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b/>
                <w:bCs/>
                <w:sz w:val="22"/>
                <w:szCs w:val="22"/>
              </w:rPr>
              <w:t>Opis wskaźnika</w:t>
            </w:r>
          </w:p>
        </w:tc>
        <w:tc>
          <w:tcPr>
            <w:tcW w:w="8787" w:type="dxa"/>
            <w:shd w:val="clear" w:color="auto" w:fill="D9D9D9" w:themeFill="background1" w:themeFillShade="D9"/>
            <w:vAlign w:val="center"/>
          </w:tcPr>
          <w:p w14:paraId="00000027" w14:textId="77777777" w:rsidR="00AF679A" w:rsidRPr="00480AFA" w:rsidRDefault="005F0829" w:rsidP="00480AFA">
            <w:pPr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480AFA">
              <w:rPr>
                <w:rFonts w:eastAsia="Aptos" w:cs="Arial"/>
                <w:b/>
                <w:bCs/>
                <w:sz w:val="22"/>
                <w:szCs w:val="22"/>
              </w:rPr>
              <w:t>Przykłady pożądanych zachowań</w:t>
            </w:r>
          </w:p>
        </w:tc>
      </w:tr>
      <w:tr w:rsidR="00AF679A" w:rsidRPr="00480AFA" w14:paraId="77205CC6" w14:textId="77777777" w:rsidTr="00435893">
        <w:trPr>
          <w:trHeight w:val="738"/>
        </w:trPr>
        <w:tc>
          <w:tcPr>
            <w:tcW w:w="2127" w:type="dxa"/>
            <w:vMerge w:val="restart"/>
          </w:tcPr>
          <w:p w14:paraId="00000028" w14:textId="77777777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 xml:space="preserve">Jakość i rezultaty działań specjalisty oraz wpływ na sytuację klientów </w:t>
            </w:r>
          </w:p>
        </w:tc>
        <w:tc>
          <w:tcPr>
            <w:tcW w:w="2552" w:type="dxa"/>
          </w:tcPr>
          <w:p w14:paraId="00000029" w14:textId="5286E086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 xml:space="preserve">Realizacja celów ustalonych dla </w:t>
            </w:r>
            <w:r w:rsidR="4343995F" w:rsidRPr="00480AFA">
              <w:rPr>
                <w:rFonts w:eastAsia="Aptos" w:cs="Arial"/>
                <w:sz w:val="22"/>
                <w:szCs w:val="22"/>
              </w:rPr>
              <w:t>osoby 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="00480AFA" w:rsidRPr="00480AFA">
              <w:rPr>
                <w:rFonts w:eastAsia="Aptos" w:cs="Arial"/>
                <w:sz w:val="22"/>
                <w:szCs w:val="22"/>
              </w:rPr>
              <w:t>niepełnosprawnością</w:t>
            </w:r>
          </w:p>
        </w:tc>
        <w:tc>
          <w:tcPr>
            <w:tcW w:w="2835" w:type="dxa"/>
          </w:tcPr>
          <w:p w14:paraId="0000002A" w14:textId="77777777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Stopień osiągnięcia celów określonych w IPD</w:t>
            </w:r>
          </w:p>
        </w:tc>
        <w:tc>
          <w:tcPr>
            <w:tcW w:w="8787" w:type="dxa"/>
            <w:vAlign w:val="center"/>
          </w:tcPr>
          <w:p w14:paraId="0000002B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Monitoruje realizację celów i wprowadza korekty.</w:t>
            </w:r>
          </w:p>
          <w:p w14:paraId="0000002C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Wykonuje zadania zgodnie z planem i etapami.</w:t>
            </w:r>
          </w:p>
          <w:p w14:paraId="0000002D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Identyfikuje bariery i proponuje rozwiązania.</w:t>
            </w:r>
          </w:p>
          <w:p w14:paraId="0000002E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Konsekwentnie dąży do osiągania wyników.</w:t>
            </w:r>
          </w:p>
        </w:tc>
      </w:tr>
      <w:tr w:rsidR="00AF679A" w:rsidRPr="00480AFA" w14:paraId="04032021" w14:textId="77777777" w:rsidTr="00435893">
        <w:trPr>
          <w:trHeight w:val="738"/>
        </w:trPr>
        <w:tc>
          <w:tcPr>
            <w:tcW w:w="2127" w:type="dxa"/>
            <w:vMerge/>
          </w:tcPr>
          <w:p w14:paraId="0000002F" w14:textId="77777777" w:rsidR="00AF679A" w:rsidRPr="00480AFA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00000030" w14:textId="5818BCD7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Jakość dokumentacji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>raportowania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00000031" w14:textId="77777777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Dokładność, rzetelność i zgodność z MZW oraz procedurami AZW</w:t>
            </w:r>
          </w:p>
        </w:tc>
        <w:tc>
          <w:tcPr>
            <w:tcW w:w="8787" w:type="dxa"/>
            <w:shd w:val="clear" w:color="auto" w:fill="F2F2F2" w:themeFill="background1" w:themeFillShade="F2"/>
            <w:vAlign w:val="center"/>
          </w:tcPr>
          <w:p w14:paraId="00000032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Sporządza dokumentację zgodnie ze standardami MZW i bez błędów.</w:t>
            </w:r>
          </w:p>
          <w:p w14:paraId="00000033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Uzupełnia dokumenty na bieżąco.</w:t>
            </w:r>
          </w:p>
          <w:p w14:paraId="00000034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Precyzyjnie opisuje działania, zapewniając czytelność dokumentacji.</w:t>
            </w:r>
          </w:p>
          <w:p w14:paraId="00000035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Konsultuje wątpliwości, aby uniknąć błędów.</w:t>
            </w:r>
          </w:p>
        </w:tc>
      </w:tr>
      <w:tr w:rsidR="00AF679A" w:rsidRPr="00480AFA" w14:paraId="09546954" w14:textId="77777777" w:rsidTr="00435893">
        <w:trPr>
          <w:trHeight w:val="738"/>
        </w:trPr>
        <w:tc>
          <w:tcPr>
            <w:tcW w:w="2127" w:type="dxa"/>
            <w:vMerge/>
          </w:tcPr>
          <w:p w14:paraId="00000036" w14:textId="77777777" w:rsidR="00AF679A" w:rsidRPr="00480AFA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0000037" w14:textId="77777777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Efektywność wsparcia</w:t>
            </w:r>
          </w:p>
        </w:tc>
        <w:tc>
          <w:tcPr>
            <w:tcW w:w="2835" w:type="dxa"/>
          </w:tcPr>
          <w:p w14:paraId="00000038" w14:textId="16025111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Skuteczność działań (np.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 xml:space="preserve">liczba </w:t>
            </w:r>
            <w:r w:rsidR="588081FC" w:rsidRPr="00480AFA">
              <w:rPr>
                <w:rFonts w:eastAsia="Aptos" w:cs="Arial"/>
                <w:sz w:val="22"/>
                <w:szCs w:val="22"/>
              </w:rPr>
              <w:t>osób 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="00435893" w:rsidRPr="00480AFA">
              <w:rPr>
                <w:rFonts w:eastAsia="Aptos" w:cs="Arial"/>
                <w:sz w:val="22"/>
                <w:szCs w:val="22"/>
              </w:rPr>
              <w:t>niepełnosprawnością</w:t>
            </w:r>
            <w:r w:rsidRPr="00480AFA">
              <w:rPr>
                <w:rFonts w:eastAsia="Aptos" w:cs="Arial"/>
                <w:sz w:val="22"/>
                <w:szCs w:val="22"/>
              </w:rPr>
              <w:t xml:space="preserve"> zatrudnionych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>utrzymanych w pracy, skuteczność interwencji)</w:t>
            </w:r>
          </w:p>
        </w:tc>
        <w:tc>
          <w:tcPr>
            <w:tcW w:w="8787" w:type="dxa"/>
            <w:vAlign w:val="center"/>
          </w:tcPr>
          <w:p w14:paraId="00000039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Dobiera adekwatne metody i narzędzia wsparcia.</w:t>
            </w:r>
          </w:p>
          <w:p w14:paraId="0000003A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Monitoruje sytuację klientów i reaguje na ryzyka.</w:t>
            </w:r>
          </w:p>
          <w:p w14:paraId="0000003B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Utrzymuje skuteczny kontakt wspierający zatrudnienie i utrzymanie pracy.</w:t>
            </w:r>
          </w:p>
          <w:p w14:paraId="0000003C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Inicjuje działania zwiększające efekty wsparcia.</w:t>
            </w:r>
          </w:p>
        </w:tc>
      </w:tr>
      <w:tr w:rsidR="00AF679A" w:rsidRPr="00480AFA" w14:paraId="4BA96A2D" w14:textId="77777777" w:rsidTr="00435893">
        <w:trPr>
          <w:trHeight w:val="738"/>
        </w:trPr>
        <w:tc>
          <w:tcPr>
            <w:tcW w:w="2127" w:type="dxa"/>
            <w:vMerge/>
          </w:tcPr>
          <w:p w14:paraId="0000003D" w14:textId="77777777" w:rsidR="00AF679A" w:rsidRPr="00480AFA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0000003E" w14:textId="77777777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Terminowość działań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0000003F" w14:textId="77777777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Realizacja zadań i raportów w wymaganych terminach</w:t>
            </w:r>
          </w:p>
        </w:tc>
        <w:tc>
          <w:tcPr>
            <w:tcW w:w="8787" w:type="dxa"/>
            <w:shd w:val="clear" w:color="auto" w:fill="F2F2F2" w:themeFill="background1" w:themeFillShade="F2"/>
            <w:vAlign w:val="center"/>
          </w:tcPr>
          <w:p w14:paraId="00000040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Oddaje dokumentację w wymaganych terminach.</w:t>
            </w:r>
          </w:p>
          <w:p w14:paraId="00000041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Planuje pracę tak, aby dotrzymywać terminów.</w:t>
            </w:r>
          </w:p>
          <w:p w14:paraId="00000042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Wcześnie sygnalizuje możliwe opóźnienia i proponuje rozwiązania.</w:t>
            </w:r>
          </w:p>
          <w:p w14:paraId="00000043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Priorytetyzuje zadania w sytuacjach pilnych.</w:t>
            </w:r>
          </w:p>
        </w:tc>
      </w:tr>
      <w:tr w:rsidR="00AF679A" w:rsidRPr="00480AFA" w14:paraId="3DDF1567" w14:textId="77777777" w:rsidTr="00435893">
        <w:trPr>
          <w:trHeight w:val="738"/>
        </w:trPr>
        <w:tc>
          <w:tcPr>
            <w:tcW w:w="2127" w:type="dxa"/>
            <w:vMerge/>
          </w:tcPr>
          <w:p w14:paraId="00000044" w14:textId="77777777" w:rsidR="00AF679A" w:rsidRPr="00480AFA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0000045" w14:textId="68ECFFF2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Współpraca 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>pracodawcami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>partnerami</w:t>
            </w:r>
          </w:p>
        </w:tc>
        <w:tc>
          <w:tcPr>
            <w:tcW w:w="2835" w:type="dxa"/>
          </w:tcPr>
          <w:p w14:paraId="00000046" w14:textId="3F50DFFD" w:rsidR="00AF679A" w:rsidRPr="00480AFA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80AFA">
              <w:rPr>
                <w:rFonts w:eastAsia="Aptos" w:cs="Arial"/>
                <w:sz w:val="22"/>
                <w:szCs w:val="22"/>
              </w:rPr>
              <w:t>Skuteczność w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>nawiązywaniu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>utrzymywaniu relacji 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>pracodawcami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80AFA">
              <w:rPr>
                <w:rFonts w:eastAsia="Aptos" w:cs="Arial"/>
                <w:sz w:val="22"/>
                <w:szCs w:val="22"/>
              </w:rPr>
              <w:t>partnerami</w:t>
            </w:r>
          </w:p>
        </w:tc>
        <w:tc>
          <w:tcPr>
            <w:tcW w:w="8787" w:type="dxa"/>
            <w:vAlign w:val="center"/>
          </w:tcPr>
          <w:p w14:paraId="00000047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Inicjuje kontakty i proponuje formy współpracy.</w:t>
            </w:r>
          </w:p>
          <w:p w14:paraId="00000048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Regularnie utrzymuje komunikację i odpowiada na potrzeby partnerów.</w:t>
            </w:r>
          </w:p>
          <w:p w14:paraId="00000049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Buduje relacje oparte na zaufaniu.</w:t>
            </w:r>
          </w:p>
          <w:p w14:paraId="0000004A" w14:textId="77777777" w:rsidR="00AF679A" w:rsidRPr="00480AFA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80AFA">
              <w:rPr>
                <w:rFonts w:eastAsia="Aptos" w:cs="Arial"/>
                <w:color w:val="000000"/>
                <w:sz w:val="22"/>
                <w:szCs w:val="22"/>
              </w:rPr>
              <w:t>Reprezentuje wysoki poziom profesjonalizmu.</w:t>
            </w:r>
          </w:p>
        </w:tc>
      </w:tr>
    </w:tbl>
    <w:p w14:paraId="0000004B" w14:textId="77777777" w:rsidR="00AF679A" w:rsidRPr="00480AFA" w:rsidRDefault="005F0829" w:rsidP="00480AFA">
      <w:pPr>
        <w:spacing w:before="240" w:after="120" w:line="360" w:lineRule="auto"/>
        <w:rPr>
          <w:rFonts w:cs="Arial"/>
        </w:rPr>
        <w:sectPr w:rsidR="00AF679A" w:rsidRPr="00480AFA">
          <w:pgSz w:w="16840" w:h="11906" w:orient="landscape"/>
          <w:pgMar w:top="1021" w:right="1134" w:bottom="1021" w:left="1276" w:header="142" w:footer="187" w:gutter="0"/>
          <w:cols w:space="708"/>
        </w:sectPr>
      </w:pPr>
      <w:r w:rsidRPr="00480AFA">
        <w:rPr>
          <w:rFonts w:cs="Arial"/>
        </w:rPr>
        <w:br w:type="page"/>
      </w:r>
    </w:p>
    <w:p w14:paraId="0000004C" w14:textId="08330452" w:rsidR="00AF679A" w:rsidRPr="00480AFA" w:rsidRDefault="005F0829" w:rsidP="004764B5">
      <w:pPr>
        <w:pStyle w:val="Nagwek3"/>
        <w:numPr>
          <w:ilvl w:val="1"/>
          <w:numId w:val="10"/>
        </w:numPr>
        <w:spacing w:line="360" w:lineRule="auto"/>
        <w:rPr>
          <w:rFonts w:cs="Arial"/>
        </w:rPr>
      </w:pPr>
      <w:bookmarkStart w:id="3" w:name="_heading=h.5htaawnffh8y" w:colFirst="0" w:colLast="0"/>
      <w:bookmarkEnd w:id="3"/>
      <w:r w:rsidRPr="00480AFA">
        <w:rPr>
          <w:rFonts w:cs="Arial"/>
        </w:rPr>
        <w:lastRenderedPageBreak/>
        <w:t>Kompetencje zawodowe</w:t>
      </w:r>
    </w:p>
    <w:p w14:paraId="0000004D" w14:textId="4EE8855D" w:rsidR="00AF679A" w:rsidRPr="00435893" w:rsidRDefault="005F0829" w:rsidP="00480AFA">
      <w:pPr>
        <w:spacing w:after="20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 xml:space="preserve">Kompetencje zawodowe odnoszą się do specjalistycznej wiedzy i umiejętności, które są </w:t>
      </w:r>
      <w:r w:rsidRPr="00435893">
        <w:rPr>
          <w:rFonts w:cs="Arial"/>
          <w:szCs w:val="24"/>
        </w:rPr>
        <w:t>niezbędne do prawidłowej realizacji usług zgodnych ze standardami MZW.</w:t>
      </w:r>
    </w:p>
    <w:p w14:paraId="0000004E" w14:textId="4A76BB44" w:rsidR="00AF679A" w:rsidRPr="00480AFA" w:rsidRDefault="005F0829" w:rsidP="00480AFA">
      <w:pPr>
        <w:spacing w:after="200" w:line="360" w:lineRule="auto"/>
        <w:rPr>
          <w:rFonts w:cs="Arial"/>
          <w:szCs w:val="24"/>
        </w:rPr>
      </w:pPr>
      <w:r w:rsidRPr="00435893">
        <w:rPr>
          <w:rFonts w:cs="Arial"/>
          <w:szCs w:val="24"/>
        </w:rPr>
        <w:t>Ocenie podlega znajomość zasad MZW, umiejętność prowadzenia procesu</w:t>
      </w:r>
      <w:r w:rsidRPr="00480AFA">
        <w:rPr>
          <w:rFonts w:cs="Arial"/>
          <w:szCs w:val="24"/>
        </w:rPr>
        <w:t xml:space="preserve"> zatrudnienia wspomaganego w oparciu o 5-etapowy </w:t>
      </w:r>
      <w:r w:rsidR="03F477B4" w:rsidRPr="00480AFA">
        <w:rPr>
          <w:rFonts w:cs="Arial"/>
          <w:szCs w:val="24"/>
        </w:rPr>
        <w:t>MZW</w:t>
      </w:r>
      <w:r w:rsidRPr="00480AFA">
        <w:rPr>
          <w:rFonts w:cs="Arial"/>
          <w:szCs w:val="24"/>
        </w:rPr>
        <w:t>, stosowanie komunikacji wspierającej, a także zdolność do rozwiązywania problemów i podejmowania decyzji w sytuacjach trudnych lub</w:t>
      </w:r>
      <w:r w:rsidR="00435893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kryzysowych.</w:t>
      </w:r>
    </w:p>
    <w:p w14:paraId="0000004F" w14:textId="2B020AD9" w:rsidR="00AF679A" w:rsidRPr="00480AFA" w:rsidRDefault="005F0829" w:rsidP="00480AFA">
      <w:pPr>
        <w:spacing w:after="20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Wskaźniki obejmują również inicjatywę i innowacyjność, co odzwierciedla potrzebę ciągłego doskonalenia praktyk oraz wdrażania nowych rozwiązań.</w:t>
      </w:r>
    </w:p>
    <w:p w14:paraId="00000050" w14:textId="15570613" w:rsidR="00AF679A" w:rsidRPr="00480AFA" w:rsidRDefault="005F0829" w:rsidP="00480AFA">
      <w:pPr>
        <w:spacing w:after="200" w:line="360" w:lineRule="auto"/>
        <w:rPr>
          <w:rFonts w:cs="Arial"/>
          <w:szCs w:val="24"/>
        </w:rPr>
        <w:sectPr w:rsidR="00AF679A" w:rsidRPr="00480AFA">
          <w:pgSz w:w="11906" w:h="16840"/>
          <w:pgMar w:top="1134" w:right="1021" w:bottom="1276" w:left="1021" w:header="142" w:footer="187" w:gutter="0"/>
          <w:cols w:space="708"/>
        </w:sectPr>
      </w:pPr>
      <w:r w:rsidRPr="00480AFA">
        <w:rPr>
          <w:rFonts w:cs="Arial"/>
          <w:szCs w:val="24"/>
        </w:rPr>
        <w:t xml:space="preserve">Kompetencje zawodowe </w:t>
      </w:r>
      <w:r w:rsidRPr="00435893">
        <w:rPr>
          <w:rFonts w:cs="Arial"/>
          <w:szCs w:val="24"/>
        </w:rPr>
        <w:t>stanowią fundament jakości usług AZW – to dzięki nim</w:t>
      </w:r>
      <w:r w:rsidRPr="00480AFA">
        <w:rPr>
          <w:rFonts w:cs="Arial"/>
          <w:szCs w:val="24"/>
        </w:rPr>
        <w:t xml:space="preserve"> specjalista potrafi trafnie diagnozować/rozumieć potrzeby klientów, planować skuteczne działania i</w:t>
      </w:r>
      <w:r w:rsidR="00435893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wspierać ich w procesie integracji zawodowej. Rozwijanie tego obszaru sprzyja podnoszeniu standardów pracy i utrzymaniu spójności w całym zespole</w:t>
      </w:r>
      <w:r w:rsidR="00435893">
        <w:rPr>
          <w:rFonts w:cs="Arial"/>
          <w:szCs w:val="24"/>
        </w:rPr>
        <w:t>.</w:t>
      </w:r>
    </w:p>
    <w:p w14:paraId="29E37686" w14:textId="743EFD9D" w:rsidR="00435893" w:rsidRDefault="00435893" w:rsidP="00435893">
      <w:pPr>
        <w:pStyle w:val="Legenda"/>
        <w:keepNext/>
      </w:pPr>
      <w:bookmarkStart w:id="4" w:name="_Toc225847065"/>
      <w:bookmarkStart w:id="5" w:name="_Toc227166523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2</w:t>
      </w:r>
      <w:bookmarkEnd w:id="4"/>
      <w:r>
        <w:rPr>
          <w:noProof/>
        </w:rPr>
        <w:fldChar w:fldCharType="end"/>
      </w:r>
      <w:r w:rsidR="00CA5996">
        <w:rPr>
          <w:noProof/>
        </w:rPr>
        <w:t>. Kompetencje zawodowe</w:t>
      </w:r>
      <w:bookmarkEnd w:id="5"/>
    </w:p>
    <w:tbl>
      <w:tblPr>
        <w:tblStyle w:val="a8"/>
        <w:tblW w:w="1630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127"/>
        <w:gridCol w:w="2268"/>
        <w:gridCol w:w="2694"/>
        <w:gridCol w:w="9212"/>
      </w:tblGrid>
      <w:tr w:rsidR="00AF679A" w:rsidRPr="00435893" w14:paraId="2F8F9BD2" w14:textId="77777777" w:rsidTr="00435893">
        <w:trPr>
          <w:trHeight w:val="340"/>
          <w:tblHeader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00000052" w14:textId="77777777" w:rsidR="00AF679A" w:rsidRPr="00435893" w:rsidRDefault="005F0829" w:rsidP="00435893">
            <w:pPr>
              <w:spacing w:line="360" w:lineRule="auto"/>
              <w:rPr>
                <w:rFonts w:eastAsia="Aptos" w:cs="Arial"/>
                <w:b/>
                <w:bCs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Definicja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0000053" w14:textId="77777777" w:rsidR="00AF679A" w:rsidRPr="00435893" w:rsidRDefault="005F0829" w:rsidP="00435893">
            <w:pPr>
              <w:spacing w:line="360" w:lineRule="auto"/>
              <w:rPr>
                <w:rFonts w:eastAsia="Aptos" w:cs="Arial"/>
                <w:b/>
                <w:bCs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Wskaźnik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0000054" w14:textId="77777777" w:rsidR="00AF679A" w:rsidRPr="00435893" w:rsidRDefault="005F0829" w:rsidP="00435893">
            <w:pPr>
              <w:spacing w:line="360" w:lineRule="auto"/>
              <w:rPr>
                <w:rFonts w:eastAsia="Aptos" w:cs="Arial"/>
                <w:b/>
                <w:bCs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Opis wskaźnika</w:t>
            </w:r>
          </w:p>
        </w:tc>
        <w:tc>
          <w:tcPr>
            <w:tcW w:w="9213" w:type="dxa"/>
            <w:shd w:val="clear" w:color="auto" w:fill="D9D9D9" w:themeFill="background1" w:themeFillShade="D9"/>
            <w:vAlign w:val="center"/>
          </w:tcPr>
          <w:p w14:paraId="00000055" w14:textId="77777777" w:rsidR="00AF679A" w:rsidRPr="00435893" w:rsidRDefault="005F0829" w:rsidP="00435893">
            <w:pPr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Przykłady pożądanych zachowań</w:t>
            </w:r>
          </w:p>
        </w:tc>
      </w:tr>
      <w:tr w:rsidR="00AF679A" w:rsidRPr="00435893" w14:paraId="12B3C6A8" w14:textId="77777777" w:rsidTr="00435893">
        <w:tc>
          <w:tcPr>
            <w:tcW w:w="2127" w:type="dxa"/>
            <w:vMerge w:val="restart"/>
          </w:tcPr>
          <w:p w14:paraId="00000056" w14:textId="3B8B83C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Wiedza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umiejętności specjalistyczne specjalisty w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zakresie realizacji usług zatrudnienia wspomaganego zgodnie ze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standardami MZW</w:t>
            </w:r>
          </w:p>
        </w:tc>
        <w:tc>
          <w:tcPr>
            <w:tcW w:w="2268" w:type="dxa"/>
            <w:vAlign w:val="center"/>
          </w:tcPr>
          <w:p w14:paraId="00000057" w14:textId="7777777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Wiedza merytoryczna</w:t>
            </w:r>
          </w:p>
        </w:tc>
        <w:tc>
          <w:tcPr>
            <w:tcW w:w="2694" w:type="dxa"/>
            <w:vAlign w:val="center"/>
          </w:tcPr>
          <w:p w14:paraId="00000058" w14:textId="220AA57E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 xml:space="preserve">Znajomość zasad MZW, standardów ZW, specyfiki </w:t>
            </w:r>
            <w:r w:rsidR="3AB398CD" w:rsidRPr="00435893">
              <w:rPr>
                <w:rFonts w:eastAsia="Aptos" w:cs="Arial"/>
                <w:sz w:val="22"/>
                <w:szCs w:val="22"/>
              </w:rPr>
              <w:t>osób 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="00435893" w:rsidRPr="00435893">
              <w:rPr>
                <w:rFonts w:eastAsia="Aptos" w:cs="Arial"/>
                <w:sz w:val="22"/>
                <w:szCs w:val="22"/>
              </w:rPr>
              <w:t>niepełnosprawnością</w:t>
            </w:r>
            <w:r w:rsidRPr="00435893">
              <w:rPr>
                <w:rFonts w:eastAsia="Aptos" w:cs="Arial"/>
                <w:sz w:val="22"/>
                <w:szCs w:val="22"/>
              </w:rPr>
              <w:t>, rynku pracy</w:t>
            </w:r>
          </w:p>
        </w:tc>
        <w:tc>
          <w:tcPr>
            <w:tcW w:w="9213" w:type="dxa"/>
            <w:vAlign w:val="center"/>
          </w:tcPr>
          <w:p w14:paraId="00000059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Prawidłowo stosuje zasady i standardy MZW w codziennej pracy.</w:t>
            </w:r>
          </w:p>
          <w:p w14:paraId="0000005A" w14:textId="4A5B980B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Wykazuje znajomość specyfiki różnych rodzajów niepełnosprawności i ich wpływu na</w:t>
            </w:r>
            <w:r w:rsidR="00435893">
              <w:rPr>
                <w:rFonts w:eastAsia="Aptos" w:cs="Arial"/>
                <w:color w:val="000000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funkcjonowanie klienta.</w:t>
            </w:r>
          </w:p>
          <w:p w14:paraId="0000005B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Śledzi zmiany na rynku pracy i uwzględnia je w pracy z klientami.</w:t>
            </w:r>
          </w:p>
          <w:p w14:paraId="0000005C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Posługuje się aktualnymi materiałami, wytycznymi i dokumentami branżowymi.</w:t>
            </w:r>
          </w:p>
        </w:tc>
      </w:tr>
      <w:tr w:rsidR="00AF679A" w:rsidRPr="00435893" w14:paraId="655ED871" w14:textId="77777777" w:rsidTr="00435893">
        <w:tc>
          <w:tcPr>
            <w:tcW w:w="2127" w:type="dxa"/>
            <w:vMerge/>
          </w:tcPr>
          <w:p w14:paraId="0000005D" w14:textId="77777777" w:rsidR="00AF679A" w:rsidRPr="00435893" w:rsidRDefault="00AF679A" w:rsidP="004358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00005E" w14:textId="7777777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Umiejętność prowadzenia procesu ZW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000005F" w14:textId="7777777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Stosowanie 5 etapów MZW w praktyce, planowanie, wdrażanie, monitorowanie</w:t>
            </w:r>
          </w:p>
        </w:tc>
        <w:tc>
          <w:tcPr>
            <w:tcW w:w="9213" w:type="dxa"/>
            <w:shd w:val="clear" w:color="auto" w:fill="F2F2F2" w:themeFill="background1" w:themeFillShade="F2"/>
            <w:vAlign w:val="center"/>
          </w:tcPr>
          <w:p w14:paraId="00000060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Prowadzi proces ZW zgodnie z 5 etapami MZW.</w:t>
            </w:r>
          </w:p>
          <w:p w14:paraId="00000061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Opracowuje realistyczne IPD dla klientów.</w:t>
            </w:r>
          </w:p>
          <w:p w14:paraId="00000062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Systematycznie monitoruje postępy i aktualizuje działania w procesie ZW.</w:t>
            </w:r>
          </w:p>
          <w:p w14:paraId="00000063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Współpracuje z klientem, pracodawcą i partnerami na każdym etapie procesu.</w:t>
            </w:r>
          </w:p>
        </w:tc>
      </w:tr>
      <w:tr w:rsidR="00AF679A" w:rsidRPr="00435893" w14:paraId="35FFDEFA" w14:textId="77777777" w:rsidTr="00435893">
        <w:tc>
          <w:tcPr>
            <w:tcW w:w="2127" w:type="dxa"/>
            <w:vMerge/>
          </w:tcPr>
          <w:p w14:paraId="00000064" w14:textId="77777777" w:rsidR="00AF679A" w:rsidRPr="00435893" w:rsidRDefault="00AF679A" w:rsidP="004358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0000065" w14:textId="7777777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Komunikacja wspierająca</w:t>
            </w:r>
          </w:p>
        </w:tc>
        <w:tc>
          <w:tcPr>
            <w:tcW w:w="2694" w:type="dxa"/>
            <w:vAlign w:val="center"/>
          </w:tcPr>
          <w:p w14:paraId="00000066" w14:textId="7777777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Użycie języka prostego, alternatywnych form komunikacji, rozmów motywujących</w:t>
            </w:r>
          </w:p>
        </w:tc>
        <w:tc>
          <w:tcPr>
            <w:tcW w:w="9213" w:type="dxa"/>
            <w:vAlign w:val="center"/>
          </w:tcPr>
          <w:p w14:paraId="00000067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Używa języka prostego dostosowanego do możliwości klienta.</w:t>
            </w:r>
          </w:p>
          <w:p w14:paraId="00000068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Korzysta z komunikacji alternatywnej i wspomagającej, gdy jest taka potrzeba.</w:t>
            </w:r>
          </w:p>
          <w:p w14:paraId="00000069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Prowadzi rozmowy wzmacniające motywację klienta do działania.</w:t>
            </w:r>
          </w:p>
          <w:p w14:paraId="0000006A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Zapewnia klientowi przestrzeń do wypowiedzi i decydowania o sobie.</w:t>
            </w:r>
          </w:p>
        </w:tc>
      </w:tr>
      <w:tr w:rsidR="00AF679A" w:rsidRPr="00435893" w14:paraId="2F367AA4" w14:textId="77777777" w:rsidTr="00435893">
        <w:tc>
          <w:tcPr>
            <w:tcW w:w="2127" w:type="dxa"/>
            <w:vMerge/>
          </w:tcPr>
          <w:p w14:paraId="0000006B" w14:textId="77777777" w:rsidR="00AF679A" w:rsidRPr="00435893" w:rsidRDefault="00AF679A" w:rsidP="004358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00006C" w14:textId="7777777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Rozwiązywanie problemów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000006D" w14:textId="7777777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Reagowanie w sytuacjach kryzysowych, mediacje, elastyczne dostosowanie wsparcia</w:t>
            </w:r>
          </w:p>
        </w:tc>
        <w:tc>
          <w:tcPr>
            <w:tcW w:w="9213" w:type="dxa"/>
            <w:shd w:val="clear" w:color="auto" w:fill="F2F2F2" w:themeFill="background1" w:themeFillShade="F2"/>
            <w:vAlign w:val="center"/>
          </w:tcPr>
          <w:p w14:paraId="0000006E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Identyfikuje problemy i ryzyka w sytuacji klienta.</w:t>
            </w:r>
          </w:p>
          <w:p w14:paraId="0000006F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Dobiera adekwatne formy interwencji w sytuacjach kryzysowych.</w:t>
            </w:r>
          </w:p>
          <w:p w14:paraId="00000070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Prowadzi mediacje między klientem a pracodawcą, dążąc do konstruktywnego rozwiązania konfliktu.</w:t>
            </w:r>
          </w:p>
          <w:p w14:paraId="00000071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Dostosowuje wsparcie do zmieniającej się sytuacji klienta.</w:t>
            </w:r>
          </w:p>
        </w:tc>
      </w:tr>
      <w:tr w:rsidR="00AF679A" w:rsidRPr="00435893" w14:paraId="26B95923" w14:textId="77777777" w:rsidTr="00435893">
        <w:tc>
          <w:tcPr>
            <w:tcW w:w="2127" w:type="dxa"/>
            <w:vMerge/>
          </w:tcPr>
          <w:p w14:paraId="00000072" w14:textId="77777777" w:rsidR="00AF679A" w:rsidRPr="00435893" w:rsidRDefault="00AF679A" w:rsidP="004358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0000073" w14:textId="000E572D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Inicjatywa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innowacyjność</w:t>
            </w:r>
          </w:p>
        </w:tc>
        <w:tc>
          <w:tcPr>
            <w:tcW w:w="2694" w:type="dxa"/>
            <w:vAlign w:val="center"/>
          </w:tcPr>
          <w:p w14:paraId="00000074" w14:textId="77777777" w:rsidR="00AF679A" w:rsidRPr="00435893" w:rsidRDefault="005F0829" w:rsidP="00435893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Samodzielne wdrażanie nowych rozwiązań, pomysłów, usprawnień</w:t>
            </w:r>
          </w:p>
        </w:tc>
        <w:tc>
          <w:tcPr>
            <w:tcW w:w="9213" w:type="dxa"/>
            <w:vAlign w:val="center"/>
          </w:tcPr>
          <w:p w14:paraId="00000075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Samodzielnie proponuje nowe narzędzia i sposoby pracy z klientami.</w:t>
            </w:r>
          </w:p>
          <w:p w14:paraId="00000076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Wprowadza usprawnienia w procesach zwiększające efektywność wsparcia.</w:t>
            </w:r>
          </w:p>
          <w:p w14:paraId="00000077" w14:textId="77777777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Poszukuje inspiracji i dobrych praktyk w obszarze ZW i adaptuje je do swojej pracy.</w:t>
            </w:r>
          </w:p>
          <w:p w14:paraId="00000078" w14:textId="5E578E22" w:rsidR="00AF679A" w:rsidRPr="00435893" w:rsidRDefault="005F0829" w:rsidP="004358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Podejmuje działania wykraczające poza standardowe obowiązki, aby poprawić jakość</w:t>
            </w:r>
            <w:r w:rsidR="00435893">
              <w:rPr>
                <w:rFonts w:eastAsia="Aptos" w:cs="Arial"/>
                <w:color w:val="000000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usług.</w:t>
            </w:r>
          </w:p>
        </w:tc>
      </w:tr>
    </w:tbl>
    <w:p w14:paraId="00000079" w14:textId="77777777" w:rsidR="00AF679A" w:rsidRPr="00480AFA" w:rsidRDefault="00AF679A" w:rsidP="00480AFA">
      <w:pPr>
        <w:spacing w:line="360" w:lineRule="auto"/>
        <w:rPr>
          <w:rFonts w:cs="Arial"/>
          <w:szCs w:val="24"/>
        </w:rPr>
        <w:sectPr w:rsidR="00AF679A" w:rsidRPr="00480AFA" w:rsidSect="00435893">
          <w:pgSz w:w="16840" w:h="11906" w:orient="landscape"/>
          <w:pgMar w:top="1021" w:right="1134" w:bottom="1021" w:left="1276" w:header="142" w:footer="227" w:gutter="0"/>
          <w:cols w:space="708"/>
          <w:docGrid w:linePitch="326"/>
        </w:sectPr>
      </w:pPr>
    </w:p>
    <w:p w14:paraId="0000007A" w14:textId="744A59B7" w:rsidR="00AF679A" w:rsidRPr="00480AFA" w:rsidRDefault="005F0829" w:rsidP="004764B5">
      <w:pPr>
        <w:pStyle w:val="Nagwek3"/>
        <w:numPr>
          <w:ilvl w:val="1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lastRenderedPageBreak/>
        <w:t xml:space="preserve">Postawa i zaangażowanie </w:t>
      </w:r>
    </w:p>
    <w:p w14:paraId="0000007B" w14:textId="2FFEE811" w:rsidR="00AF679A" w:rsidRPr="00435893" w:rsidRDefault="005F0829" w:rsidP="00480AFA">
      <w:pPr>
        <w:spacing w:before="240"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 xml:space="preserve">Postawa i zaangażowanie specjalisty AZW odnosi się do wpływu na doświadczenia osób </w:t>
      </w:r>
      <w:r w:rsidRPr="00435893">
        <w:rPr>
          <w:rFonts w:cs="Arial"/>
          <w:szCs w:val="24"/>
        </w:rPr>
        <w:t>z</w:t>
      </w:r>
      <w:r w:rsid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>niepełnosprawnością, współpracę w zespole i kontakty z partnerami. Chodzi tu zarówno o</w:t>
      </w:r>
      <w:r w:rsid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>przestrzeganie zasad etyki i wartości zatrudnienia wspomaganego, jak i o umiejętność współpracy, jasnej komunikacji, elastyczność w działaniu oraz promowanie zasad „zero</w:t>
      </w:r>
      <w:r w:rsid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>odrzucenia”.</w:t>
      </w:r>
    </w:p>
    <w:p w14:paraId="0000007C" w14:textId="2F445780" w:rsidR="00AF679A" w:rsidRPr="00480AFA" w:rsidRDefault="005F0829" w:rsidP="00480AFA">
      <w:pPr>
        <w:spacing w:before="240"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>Specjalista powinien działać profesjonalnie, reagować adekwatnie w trudnych sytuacjach, wspierać współpracowników, dzielić się wiedzą, komunikować się jasno i uprzejmie oraz</w:t>
      </w:r>
      <w:r w:rsidR="00435893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 xml:space="preserve">dostosowywać swoje działania do zmieniających się potrzeb klientów i pracodawców. </w:t>
      </w:r>
    </w:p>
    <w:p w14:paraId="0000007D" w14:textId="6BDD92ED" w:rsidR="00AF679A" w:rsidRPr="00480AFA" w:rsidRDefault="005F0829" w:rsidP="00480AFA">
      <w:pPr>
        <w:spacing w:before="240" w:after="240" w:line="360" w:lineRule="auto"/>
        <w:rPr>
          <w:rFonts w:cs="Arial"/>
          <w:szCs w:val="24"/>
        </w:rPr>
      </w:pPr>
      <w:r w:rsidRPr="00480AFA">
        <w:rPr>
          <w:rFonts w:cs="Arial"/>
          <w:szCs w:val="24"/>
        </w:rPr>
        <w:t xml:space="preserve">Ważne jest </w:t>
      </w:r>
      <w:r w:rsidRPr="00435893">
        <w:rPr>
          <w:rFonts w:cs="Arial"/>
          <w:szCs w:val="24"/>
        </w:rPr>
        <w:t xml:space="preserve">również wspieranie włączenia </w:t>
      </w:r>
      <w:r w:rsidR="42B8E69F" w:rsidRPr="00435893">
        <w:rPr>
          <w:rFonts w:cs="Arial"/>
          <w:szCs w:val="24"/>
        </w:rPr>
        <w:t>osób z niepeł</w:t>
      </w:r>
      <w:r w:rsidR="00435893" w:rsidRPr="00435893">
        <w:rPr>
          <w:rFonts w:cs="Arial"/>
          <w:szCs w:val="24"/>
        </w:rPr>
        <w:t>n</w:t>
      </w:r>
      <w:r w:rsidR="42B8E69F" w:rsidRPr="00435893">
        <w:rPr>
          <w:rFonts w:cs="Arial"/>
          <w:szCs w:val="24"/>
        </w:rPr>
        <w:t>osprawnością</w:t>
      </w:r>
      <w:r w:rsidRPr="00480AFA">
        <w:rPr>
          <w:rFonts w:cs="Arial"/>
          <w:szCs w:val="24"/>
        </w:rPr>
        <w:t>, podkreślanie ich mocnych stron i reagowanie na sytuacje wykluczające lub dyskryminujące.</w:t>
      </w:r>
    </w:p>
    <w:p w14:paraId="0000007E" w14:textId="6AF2D225" w:rsidR="00AF679A" w:rsidRPr="00480AFA" w:rsidRDefault="005F0829" w:rsidP="00480AFA">
      <w:pPr>
        <w:spacing w:before="240" w:after="240" w:line="360" w:lineRule="auto"/>
        <w:rPr>
          <w:rFonts w:cs="Arial"/>
          <w:szCs w:val="24"/>
        </w:rPr>
        <w:sectPr w:rsidR="00AF679A" w:rsidRPr="00480AFA">
          <w:pgSz w:w="11906" w:h="16840"/>
          <w:pgMar w:top="1134" w:right="1021" w:bottom="1276" w:left="1021" w:header="142" w:footer="187" w:gutter="0"/>
          <w:cols w:space="708"/>
        </w:sectPr>
      </w:pPr>
      <w:r w:rsidRPr="00480AFA">
        <w:rPr>
          <w:rFonts w:cs="Arial"/>
          <w:szCs w:val="24"/>
        </w:rPr>
        <w:t>Ocena w tym obszarze pomaga zidentyfikować mocne strony specjalisty, wspiera jego rozwój i</w:t>
      </w:r>
      <w:r w:rsidR="00CA5996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wzmacnia kulturę organizacyjną AZW opartą na profesjonalizmie, współpracy i</w:t>
      </w:r>
      <w:r w:rsidR="00435893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inkluzji.</w:t>
      </w:r>
    </w:p>
    <w:p w14:paraId="66E0A068" w14:textId="56ADF8D5" w:rsidR="00435893" w:rsidRDefault="00435893" w:rsidP="00435893">
      <w:pPr>
        <w:pStyle w:val="Legenda"/>
        <w:keepNext/>
      </w:pPr>
      <w:bookmarkStart w:id="6" w:name="_Toc225847066"/>
      <w:bookmarkStart w:id="7" w:name="_Toc227166524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3</w:t>
      </w:r>
      <w:bookmarkEnd w:id="6"/>
      <w:r>
        <w:rPr>
          <w:noProof/>
        </w:rPr>
        <w:fldChar w:fldCharType="end"/>
      </w:r>
      <w:r w:rsidR="00CA5996">
        <w:rPr>
          <w:noProof/>
        </w:rPr>
        <w:t>. Postawa i zaangażowanie</w:t>
      </w:r>
      <w:bookmarkEnd w:id="7"/>
    </w:p>
    <w:tbl>
      <w:tblPr>
        <w:tblStyle w:val="a9"/>
        <w:tblW w:w="1616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127"/>
        <w:gridCol w:w="2268"/>
        <w:gridCol w:w="2694"/>
        <w:gridCol w:w="9072"/>
      </w:tblGrid>
      <w:tr w:rsidR="00AF679A" w:rsidRPr="00435893" w14:paraId="624B8A53" w14:textId="77777777" w:rsidTr="00435893">
        <w:trPr>
          <w:trHeight w:val="340"/>
          <w:tblHeader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00000080" w14:textId="77777777" w:rsidR="00AF679A" w:rsidRPr="00435893" w:rsidRDefault="005F0829" w:rsidP="00480AFA">
            <w:pPr>
              <w:spacing w:line="360" w:lineRule="auto"/>
              <w:rPr>
                <w:rFonts w:eastAsia="Aptos" w:cs="Arial"/>
                <w:b/>
                <w:bCs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Definicja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0000081" w14:textId="77777777" w:rsidR="00AF679A" w:rsidRPr="00435893" w:rsidRDefault="005F0829" w:rsidP="00480AFA">
            <w:pPr>
              <w:spacing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Wskaźnik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0000082" w14:textId="77777777" w:rsidR="00AF679A" w:rsidRPr="00435893" w:rsidRDefault="005F0829" w:rsidP="00480AFA">
            <w:pPr>
              <w:spacing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Opis wskaźnika</w:t>
            </w:r>
          </w:p>
        </w:tc>
        <w:tc>
          <w:tcPr>
            <w:tcW w:w="9072" w:type="dxa"/>
            <w:shd w:val="clear" w:color="auto" w:fill="D9D9D9" w:themeFill="background1" w:themeFillShade="D9"/>
            <w:vAlign w:val="center"/>
          </w:tcPr>
          <w:p w14:paraId="00000083" w14:textId="77777777" w:rsidR="00AF679A" w:rsidRPr="00435893" w:rsidRDefault="005F0829" w:rsidP="00480AFA">
            <w:pPr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Przykłady pożądanych zachowań</w:t>
            </w:r>
          </w:p>
        </w:tc>
      </w:tr>
      <w:tr w:rsidR="00AF679A" w:rsidRPr="00435893" w14:paraId="2CE99934" w14:textId="77777777" w:rsidTr="00435893">
        <w:trPr>
          <w:trHeight w:val="738"/>
        </w:trPr>
        <w:tc>
          <w:tcPr>
            <w:tcW w:w="2127" w:type="dxa"/>
            <w:vMerge w:val="restart"/>
          </w:tcPr>
          <w:p w14:paraId="00000084" w14:textId="1026B861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Zachowania zgodne z etyką pracy, kulturą organizacyjną oraz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wartościami zatrudnienia wspomaganego</w:t>
            </w:r>
          </w:p>
        </w:tc>
        <w:tc>
          <w:tcPr>
            <w:tcW w:w="2268" w:type="dxa"/>
            <w:vAlign w:val="center"/>
          </w:tcPr>
          <w:p w14:paraId="00000085" w14:textId="0D304B44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Etyka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odpowiedzialność</w:t>
            </w:r>
          </w:p>
        </w:tc>
        <w:tc>
          <w:tcPr>
            <w:tcW w:w="2694" w:type="dxa"/>
            <w:vAlign w:val="center"/>
          </w:tcPr>
          <w:p w14:paraId="00000086" w14:textId="66167A2D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Przestrzeganie Kodeksu etycznego AZW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wartości MZW</w:t>
            </w:r>
          </w:p>
        </w:tc>
        <w:tc>
          <w:tcPr>
            <w:tcW w:w="9072" w:type="dxa"/>
            <w:vAlign w:val="center"/>
          </w:tcPr>
          <w:p w14:paraId="00000087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Przestrzega zasad Kodeksu etycznego AZW w codziennej pracy.</w:t>
            </w:r>
          </w:p>
          <w:p w14:paraId="00000088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Zachowuje poufność informacji dotyczących klientów, pracodawców i zespołu.</w:t>
            </w:r>
          </w:p>
          <w:p w14:paraId="00000089" w14:textId="686A651B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 xml:space="preserve">Podejmuje decyzje zgodnie z wartościami ZW, kierując się dobrem </w:t>
            </w:r>
            <w:r w:rsidR="7DEB372B"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>osób z</w:t>
            </w:r>
            <w:r w:rsidR="00435893">
              <w:rPr>
                <w:rFonts w:eastAsia="Aptos" w:cs="Arial"/>
                <w:color w:val="000000" w:themeColor="text1"/>
                <w:sz w:val="22"/>
                <w:szCs w:val="22"/>
              </w:rPr>
              <w:t> </w:t>
            </w:r>
            <w:r w:rsidR="7DEB372B"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>niepeł</w:t>
            </w:r>
            <w:r w:rsidR="00435893">
              <w:rPr>
                <w:rFonts w:eastAsia="Aptos" w:cs="Arial"/>
                <w:color w:val="000000" w:themeColor="text1"/>
                <w:sz w:val="22"/>
                <w:szCs w:val="22"/>
              </w:rPr>
              <w:t>n</w:t>
            </w:r>
            <w:r w:rsidR="7DEB372B"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>osprawnością.</w:t>
            </w:r>
          </w:p>
          <w:p w14:paraId="0000008A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Bierze odpowiedzialność za swoje działania i konsekwencje decyzji.</w:t>
            </w:r>
          </w:p>
        </w:tc>
      </w:tr>
      <w:tr w:rsidR="00AF679A" w:rsidRPr="00435893" w14:paraId="0EC138C0" w14:textId="77777777" w:rsidTr="00435893">
        <w:trPr>
          <w:trHeight w:val="738"/>
        </w:trPr>
        <w:tc>
          <w:tcPr>
            <w:tcW w:w="2127" w:type="dxa"/>
            <w:vMerge/>
          </w:tcPr>
          <w:p w14:paraId="0000008B" w14:textId="77777777" w:rsidR="00AF679A" w:rsidRPr="00435893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00008C" w14:textId="4F610F10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Współpraca w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zespole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000008D" w14:textId="77226669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Konstruktywny udział w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 xml:space="preserve">zespole specjalistów AZW w pracach nad wsparciem </w:t>
            </w:r>
            <w:r w:rsidR="469B530A" w:rsidRPr="00435893">
              <w:rPr>
                <w:rFonts w:eastAsia="Aptos" w:cs="Arial"/>
                <w:sz w:val="22"/>
                <w:szCs w:val="22"/>
              </w:rPr>
              <w:t>osób 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="00435893" w:rsidRPr="00435893">
              <w:rPr>
                <w:rFonts w:eastAsia="Aptos" w:cs="Arial"/>
                <w:sz w:val="22"/>
                <w:szCs w:val="22"/>
              </w:rPr>
              <w:t>niepełnosprawnością</w:t>
            </w:r>
          </w:p>
        </w:tc>
        <w:tc>
          <w:tcPr>
            <w:tcW w:w="9072" w:type="dxa"/>
            <w:shd w:val="clear" w:color="auto" w:fill="F2F2F2" w:themeFill="background1" w:themeFillShade="F2"/>
            <w:vAlign w:val="center"/>
          </w:tcPr>
          <w:p w14:paraId="0000008E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Udziela wsparcia współpracownikom w trudnych sytuacjach zawodowych.</w:t>
            </w:r>
          </w:p>
          <w:p w14:paraId="0000008F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Dzieli się wiedzą, materiałami i dobrymi praktykami.</w:t>
            </w:r>
          </w:p>
          <w:p w14:paraId="00000090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Buduje pozytywną atmosferę opartą na szacunku i zaufaniu.</w:t>
            </w:r>
          </w:p>
          <w:p w14:paraId="00000091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Otwiera się na różne perspektywy i wspólne rozwiązywanie problemów.</w:t>
            </w:r>
          </w:p>
        </w:tc>
      </w:tr>
      <w:tr w:rsidR="00AF679A" w:rsidRPr="00435893" w14:paraId="0F115357" w14:textId="77777777" w:rsidTr="00435893">
        <w:trPr>
          <w:trHeight w:val="738"/>
        </w:trPr>
        <w:tc>
          <w:tcPr>
            <w:tcW w:w="2127" w:type="dxa"/>
            <w:vMerge/>
          </w:tcPr>
          <w:p w14:paraId="00000092" w14:textId="77777777" w:rsidR="00AF679A" w:rsidRPr="00435893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0000093" w14:textId="6187C8DC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Komunikacja wewnętrzna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zewnętrzna</w:t>
            </w:r>
          </w:p>
        </w:tc>
        <w:tc>
          <w:tcPr>
            <w:tcW w:w="2694" w:type="dxa"/>
            <w:vAlign w:val="center"/>
          </w:tcPr>
          <w:p w14:paraId="00000094" w14:textId="1E065574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 xml:space="preserve">Jasność komunikacji, uprzejmość, skuteczność w kontaktach z </w:t>
            </w:r>
            <w:r w:rsidR="1C368500" w:rsidRPr="00435893">
              <w:rPr>
                <w:rFonts w:eastAsia="Aptos" w:cs="Arial"/>
                <w:sz w:val="22"/>
                <w:szCs w:val="22"/>
              </w:rPr>
              <w:t>osób 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="1C368500" w:rsidRPr="00435893">
              <w:rPr>
                <w:rFonts w:eastAsia="Aptos" w:cs="Arial"/>
                <w:sz w:val="22"/>
                <w:szCs w:val="22"/>
              </w:rPr>
              <w:t>niepeł</w:t>
            </w:r>
            <w:r w:rsidR="00435893">
              <w:rPr>
                <w:rFonts w:eastAsia="Aptos" w:cs="Arial"/>
                <w:sz w:val="22"/>
                <w:szCs w:val="22"/>
              </w:rPr>
              <w:t>n</w:t>
            </w:r>
            <w:r w:rsidR="1C368500" w:rsidRPr="00435893">
              <w:rPr>
                <w:rFonts w:eastAsia="Aptos" w:cs="Arial"/>
                <w:sz w:val="22"/>
                <w:szCs w:val="22"/>
              </w:rPr>
              <w:t>osprawnością</w:t>
            </w:r>
            <w:r w:rsidRPr="00435893">
              <w:rPr>
                <w:rFonts w:eastAsia="Aptos" w:cs="Arial"/>
                <w:sz w:val="22"/>
                <w:szCs w:val="22"/>
              </w:rPr>
              <w:t>, zespołem lub instytucjami</w:t>
            </w:r>
          </w:p>
        </w:tc>
        <w:tc>
          <w:tcPr>
            <w:tcW w:w="9072" w:type="dxa"/>
            <w:vAlign w:val="center"/>
          </w:tcPr>
          <w:p w14:paraId="00000095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Przekazuje informacje jasno, zrozumiale i dostosowuje je do odbiorcy.</w:t>
            </w:r>
          </w:p>
          <w:p w14:paraId="00000096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Zachowuje uprzejmość i profesjonalizm w każdej interakcji.</w:t>
            </w:r>
          </w:p>
          <w:p w14:paraId="00000097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Odpowiada na wiadomości i zapytania w rozsądnym czasie.</w:t>
            </w:r>
          </w:p>
          <w:p w14:paraId="00000098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Utrzymuje skuteczną komunikację z zespołem, klientami i partnerami instytucjonalnymi.</w:t>
            </w:r>
          </w:p>
        </w:tc>
      </w:tr>
      <w:tr w:rsidR="00AF679A" w:rsidRPr="00435893" w14:paraId="168CFCA6" w14:textId="77777777" w:rsidTr="00435893">
        <w:trPr>
          <w:trHeight w:val="738"/>
        </w:trPr>
        <w:tc>
          <w:tcPr>
            <w:tcW w:w="2127" w:type="dxa"/>
            <w:vMerge/>
          </w:tcPr>
          <w:p w14:paraId="00000099" w14:textId="77777777" w:rsidR="00AF679A" w:rsidRPr="00435893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00009A" w14:textId="56D8E8CE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Elastyczność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adaptacja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000009B" w14:textId="78AC1290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 xml:space="preserve">Dostosowanie do zmieniających się warunków pracy, potrzeb </w:t>
            </w:r>
            <w:r w:rsidR="38F52010" w:rsidRPr="00435893">
              <w:rPr>
                <w:rFonts w:eastAsia="Aptos" w:cs="Arial"/>
                <w:sz w:val="22"/>
                <w:szCs w:val="22"/>
              </w:rPr>
              <w:lastRenderedPageBreak/>
              <w:t>osób z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="38F52010" w:rsidRPr="00435893">
              <w:rPr>
                <w:rFonts w:eastAsia="Aptos" w:cs="Arial"/>
                <w:sz w:val="22"/>
                <w:szCs w:val="22"/>
              </w:rPr>
              <w:t>niepeł</w:t>
            </w:r>
            <w:r w:rsidR="00435893">
              <w:rPr>
                <w:rFonts w:eastAsia="Aptos" w:cs="Arial"/>
                <w:sz w:val="22"/>
                <w:szCs w:val="22"/>
              </w:rPr>
              <w:t>n</w:t>
            </w:r>
            <w:r w:rsidR="38F52010" w:rsidRPr="00435893">
              <w:rPr>
                <w:rFonts w:eastAsia="Aptos" w:cs="Arial"/>
                <w:sz w:val="22"/>
                <w:szCs w:val="22"/>
              </w:rPr>
              <w:t>osprawnością</w:t>
            </w:r>
            <w:r w:rsidRPr="00435893">
              <w:rPr>
                <w:rFonts w:eastAsia="Aptos" w:cs="Arial"/>
                <w:sz w:val="22"/>
                <w:szCs w:val="22"/>
              </w:rPr>
              <w:t>, pracodawców</w:t>
            </w:r>
          </w:p>
        </w:tc>
        <w:tc>
          <w:tcPr>
            <w:tcW w:w="9072" w:type="dxa"/>
            <w:shd w:val="clear" w:color="auto" w:fill="F2F2F2" w:themeFill="background1" w:themeFillShade="F2"/>
            <w:vAlign w:val="center"/>
          </w:tcPr>
          <w:p w14:paraId="0000009C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lastRenderedPageBreak/>
              <w:t>Dostosowuje działania do zmieniających się potrzeb klientów i pracodawców.</w:t>
            </w:r>
          </w:p>
          <w:p w14:paraId="0000009D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Reaguje adekwatnie w sytuacjach nagłych lub nietypowych.</w:t>
            </w:r>
          </w:p>
          <w:p w14:paraId="0000009E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Przejmuje nowe zadania lub zmienia priorytety, gdy wymaga tego sytuacja.</w:t>
            </w:r>
          </w:p>
          <w:p w14:paraId="0000009F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lastRenderedPageBreak/>
              <w:t>Poszukuje rozwiązań przy zmianie warunków lub zasobów.</w:t>
            </w:r>
          </w:p>
        </w:tc>
      </w:tr>
      <w:tr w:rsidR="00AF679A" w:rsidRPr="00435893" w14:paraId="2350B36B" w14:textId="77777777" w:rsidTr="00435893">
        <w:trPr>
          <w:trHeight w:val="738"/>
        </w:trPr>
        <w:tc>
          <w:tcPr>
            <w:tcW w:w="2127" w:type="dxa"/>
            <w:vMerge/>
          </w:tcPr>
          <w:p w14:paraId="000000A0" w14:textId="77777777" w:rsidR="00AF679A" w:rsidRPr="00435893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00000A1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Postawa proinkluzywna</w:t>
            </w:r>
          </w:p>
        </w:tc>
        <w:tc>
          <w:tcPr>
            <w:tcW w:w="2694" w:type="dxa"/>
            <w:vAlign w:val="center"/>
          </w:tcPr>
          <w:p w14:paraId="000000A2" w14:textId="72108372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Promowanie zasad „zero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 xml:space="preserve">odrzucenia” </w:t>
            </w:r>
          </w:p>
        </w:tc>
        <w:tc>
          <w:tcPr>
            <w:tcW w:w="9072" w:type="dxa"/>
            <w:vAlign w:val="center"/>
          </w:tcPr>
          <w:p w14:paraId="000000A3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Przyjmuje każdego klienta zgodnie z zasadą „zero odrzucenia”.</w:t>
            </w:r>
          </w:p>
          <w:p w14:paraId="000000A4" w14:textId="57318204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 xml:space="preserve">Wspiera </w:t>
            </w:r>
            <w:r w:rsidR="5290D162"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>osobę z niepe</w:t>
            </w:r>
            <w:r w:rsidR="00435893">
              <w:rPr>
                <w:rFonts w:eastAsia="Aptos" w:cs="Arial"/>
                <w:color w:val="000000" w:themeColor="text1"/>
                <w:sz w:val="22"/>
                <w:szCs w:val="22"/>
              </w:rPr>
              <w:t>łnosprawnością</w:t>
            </w:r>
            <w:r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 xml:space="preserve"> pełnym włączeniu w życie zawodowe.</w:t>
            </w:r>
          </w:p>
          <w:p w14:paraId="000000A5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Reaguje na działania wykluczające, dyskryminujące lub stygmatyzujące.</w:t>
            </w:r>
          </w:p>
          <w:p w14:paraId="000000A6" w14:textId="46DC05A2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 xml:space="preserve">Podkreśla mocne strony i zasoby </w:t>
            </w:r>
            <w:r w:rsidR="714C235A"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>osoby z niepełosprawnością</w:t>
            </w:r>
            <w:r w:rsidRPr="00435893">
              <w:rPr>
                <w:rFonts w:eastAsia="Aptos" w:cs="Arial"/>
                <w:color w:val="000000" w:themeColor="text1"/>
                <w:sz w:val="22"/>
                <w:szCs w:val="22"/>
              </w:rPr>
              <w:t>, wzmacniając ich poczucie sprawczości.</w:t>
            </w:r>
          </w:p>
        </w:tc>
      </w:tr>
    </w:tbl>
    <w:p w14:paraId="000000A7" w14:textId="77777777" w:rsidR="00AF679A" w:rsidRPr="00480AFA" w:rsidRDefault="00AF679A" w:rsidP="00480AFA">
      <w:pPr>
        <w:spacing w:line="360" w:lineRule="auto"/>
        <w:rPr>
          <w:rFonts w:cs="Arial"/>
        </w:rPr>
        <w:sectPr w:rsidR="00AF679A" w:rsidRPr="00480AFA" w:rsidSect="00435893">
          <w:headerReference w:type="default" r:id="rId14"/>
          <w:footerReference w:type="default" r:id="rId15"/>
          <w:pgSz w:w="16840" w:h="11906" w:orient="landscape"/>
          <w:pgMar w:top="709" w:right="1701" w:bottom="843" w:left="1418" w:header="142" w:footer="227" w:gutter="0"/>
          <w:cols w:space="708"/>
          <w:docGrid w:linePitch="326"/>
        </w:sectPr>
      </w:pPr>
    </w:p>
    <w:p w14:paraId="000000A8" w14:textId="7DF9A077" w:rsidR="00AF679A" w:rsidRPr="00480AFA" w:rsidRDefault="005F0829" w:rsidP="004764B5">
      <w:pPr>
        <w:pStyle w:val="Nagwek3"/>
        <w:numPr>
          <w:ilvl w:val="1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lastRenderedPageBreak/>
        <w:t>Rozwój i potencjał</w:t>
      </w:r>
    </w:p>
    <w:p w14:paraId="000000A9" w14:textId="741013EE" w:rsidR="00AF679A" w:rsidRPr="00435893" w:rsidRDefault="005F0829" w:rsidP="00480AFA">
      <w:pPr>
        <w:spacing w:after="200" w:line="360" w:lineRule="auto"/>
        <w:rPr>
          <w:rFonts w:cs="Arial"/>
          <w:szCs w:val="24"/>
        </w:rPr>
      </w:pPr>
      <w:r w:rsidRPr="00435893">
        <w:rPr>
          <w:rFonts w:cs="Arial"/>
          <w:szCs w:val="24"/>
        </w:rPr>
        <w:t>Obszar „Rozwój i potencjał” dotyczy gotowości specjalisty do podnoszenia kompetencji i</w:t>
      </w:r>
      <w:r w:rsidR="00435893" w:rsidRP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 xml:space="preserve">podejmowania nowych wyzwań zawodowych. </w:t>
      </w:r>
    </w:p>
    <w:p w14:paraId="000000AA" w14:textId="7255EC31" w:rsidR="00AF679A" w:rsidRPr="00435893" w:rsidRDefault="005F0829" w:rsidP="00480AFA">
      <w:pPr>
        <w:spacing w:after="200" w:line="360" w:lineRule="auto"/>
        <w:rPr>
          <w:rFonts w:cs="Arial"/>
          <w:szCs w:val="24"/>
        </w:rPr>
      </w:pPr>
      <w:r w:rsidRPr="00435893">
        <w:rPr>
          <w:rFonts w:cs="Arial"/>
          <w:szCs w:val="24"/>
        </w:rPr>
        <w:t>Ocenie podlega m.in. samodzielność, otwartość na rozwój, refleksyjność zawodowa oraz</w:t>
      </w:r>
      <w:r w:rsid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>umiejętność dzielenia się wiedzą i wspierania innych. Wskaźniki te odnoszą się zarówno do</w:t>
      </w:r>
      <w:r w:rsid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>funkcjonowania specjalisty w bieżącej pracy, jak i jego możliwości dalszego wzrostu, w tym gotowości do realizacji bardziej złożonych zadań czy pełnienia ról rozwojowych w zespole (np.</w:t>
      </w:r>
      <w:r w:rsid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>mentoring).</w:t>
      </w:r>
    </w:p>
    <w:p w14:paraId="000000AB" w14:textId="7B51560F" w:rsidR="00AF679A" w:rsidRPr="00435893" w:rsidRDefault="005F0829" w:rsidP="00480AFA">
      <w:pPr>
        <w:spacing w:after="200" w:line="360" w:lineRule="auto"/>
        <w:rPr>
          <w:rFonts w:cs="Arial"/>
          <w:szCs w:val="24"/>
        </w:rPr>
      </w:pPr>
      <w:r w:rsidRPr="00435893">
        <w:rPr>
          <w:rFonts w:cs="Arial"/>
          <w:szCs w:val="24"/>
        </w:rPr>
        <w:t>Obszar ten odzwierciedla świadomość zawodową specjalisty – jego zdolność uczenia się z</w:t>
      </w:r>
      <w:r w:rsid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>doświadczeń, korzystania z informacji zwrotnej oraz systematycznego poszerzania</w:t>
      </w:r>
      <w:r w:rsidR="00435893">
        <w:rPr>
          <w:rFonts w:cs="Arial"/>
          <w:szCs w:val="24"/>
        </w:rPr>
        <w:t> </w:t>
      </w:r>
      <w:r w:rsidRPr="00435893">
        <w:rPr>
          <w:rFonts w:cs="Arial"/>
          <w:szCs w:val="24"/>
        </w:rPr>
        <w:t>kompetencji.</w:t>
      </w:r>
    </w:p>
    <w:p w14:paraId="000000AC" w14:textId="77777777" w:rsidR="00AF679A" w:rsidRPr="00480AFA" w:rsidRDefault="005F0829" w:rsidP="00480AFA">
      <w:pPr>
        <w:spacing w:after="200" w:line="360" w:lineRule="auto"/>
        <w:rPr>
          <w:rFonts w:cs="Arial"/>
          <w:szCs w:val="24"/>
        </w:rPr>
        <w:sectPr w:rsidR="00AF679A" w:rsidRPr="00480AFA" w:rsidSect="00435893">
          <w:pgSz w:w="11906" w:h="16840"/>
          <w:pgMar w:top="1701" w:right="843" w:bottom="1418" w:left="709" w:header="142" w:footer="227" w:gutter="0"/>
          <w:cols w:space="708"/>
          <w:docGrid w:linePitch="326"/>
        </w:sectPr>
      </w:pPr>
      <w:r w:rsidRPr="00435893">
        <w:rPr>
          <w:rFonts w:cs="Arial"/>
          <w:szCs w:val="24"/>
        </w:rPr>
        <w:t>Dzięki uwzględnieniu tego obszaru ocena ma wymiar nie tylko diagnostyczny, ale i motywacyjny, ponieważ wskazuje kierunki dalszego rozwoju zgodne ze standardami</w:t>
      </w:r>
      <w:r w:rsidRPr="00480AFA">
        <w:rPr>
          <w:rFonts w:cs="Arial"/>
          <w:szCs w:val="24"/>
        </w:rPr>
        <w:t xml:space="preserve"> AZW.</w:t>
      </w:r>
    </w:p>
    <w:p w14:paraId="71E1565E" w14:textId="598958D2" w:rsidR="00435893" w:rsidRDefault="00435893" w:rsidP="00435893">
      <w:pPr>
        <w:pStyle w:val="Legenda"/>
        <w:keepNext/>
      </w:pPr>
      <w:bookmarkStart w:id="8" w:name="_Toc225847067"/>
      <w:bookmarkStart w:id="9" w:name="_Toc227166525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4</w:t>
      </w:r>
      <w:bookmarkEnd w:id="8"/>
      <w:r>
        <w:rPr>
          <w:noProof/>
        </w:rPr>
        <w:fldChar w:fldCharType="end"/>
      </w:r>
      <w:r w:rsidR="00CA5996">
        <w:rPr>
          <w:noProof/>
        </w:rPr>
        <w:t>. Rozwój i potencjał</w:t>
      </w:r>
      <w:bookmarkEnd w:id="9"/>
    </w:p>
    <w:tbl>
      <w:tblPr>
        <w:tblStyle w:val="aa"/>
        <w:tblW w:w="1616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127"/>
        <w:gridCol w:w="2268"/>
        <w:gridCol w:w="2977"/>
        <w:gridCol w:w="8789"/>
      </w:tblGrid>
      <w:tr w:rsidR="00AF679A" w:rsidRPr="00435893" w14:paraId="54DF5307" w14:textId="77777777" w:rsidTr="00435893">
        <w:trPr>
          <w:trHeight w:val="340"/>
          <w:tblHeader/>
        </w:trPr>
        <w:tc>
          <w:tcPr>
            <w:tcW w:w="2127" w:type="dxa"/>
            <w:shd w:val="clear" w:color="auto" w:fill="D9D9D9"/>
            <w:vAlign w:val="center"/>
          </w:tcPr>
          <w:p w14:paraId="000000AE" w14:textId="77777777" w:rsidR="00AF679A" w:rsidRPr="00435893" w:rsidRDefault="005F0829" w:rsidP="00480AFA">
            <w:pPr>
              <w:spacing w:line="360" w:lineRule="auto"/>
              <w:rPr>
                <w:rFonts w:eastAsia="Aptos" w:cs="Arial"/>
                <w:b/>
                <w:bCs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Definicja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000000AF" w14:textId="77777777" w:rsidR="00AF679A" w:rsidRPr="00435893" w:rsidRDefault="005F0829" w:rsidP="00480AFA">
            <w:pPr>
              <w:spacing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Wskaźnik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000000B0" w14:textId="77777777" w:rsidR="00AF679A" w:rsidRPr="00435893" w:rsidRDefault="005F0829" w:rsidP="00480AFA">
            <w:pPr>
              <w:spacing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Opis wskaźnika</w:t>
            </w:r>
          </w:p>
        </w:tc>
        <w:tc>
          <w:tcPr>
            <w:tcW w:w="8789" w:type="dxa"/>
            <w:shd w:val="clear" w:color="auto" w:fill="D9D9D9"/>
            <w:vAlign w:val="center"/>
          </w:tcPr>
          <w:p w14:paraId="000000B1" w14:textId="77777777" w:rsidR="00AF679A" w:rsidRPr="00435893" w:rsidRDefault="005F0829" w:rsidP="00480AFA">
            <w:pPr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435893">
              <w:rPr>
                <w:rFonts w:eastAsia="Aptos" w:cs="Arial"/>
                <w:b/>
                <w:bCs/>
                <w:sz w:val="22"/>
                <w:szCs w:val="22"/>
              </w:rPr>
              <w:t>Przykłady pożądanych zachowań</w:t>
            </w:r>
          </w:p>
        </w:tc>
      </w:tr>
      <w:tr w:rsidR="00AF679A" w:rsidRPr="00435893" w14:paraId="25651884" w14:textId="77777777" w:rsidTr="00435893">
        <w:trPr>
          <w:trHeight w:val="738"/>
        </w:trPr>
        <w:tc>
          <w:tcPr>
            <w:tcW w:w="2127" w:type="dxa"/>
            <w:vMerge w:val="restart"/>
          </w:tcPr>
          <w:p w14:paraId="000000B2" w14:textId="102CE61B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Gotowość pracownika do rozwijania kompetencji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dalszego wzrostu zawodowego</w:t>
            </w:r>
          </w:p>
        </w:tc>
        <w:tc>
          <w:tcPr>
            <w:tcW w:w="2268" w:type="dxa"/>
            <w:vAlign w:val="center"/>
          </w:tcPr>
          <w:p w14:paraId="000000B3" w14:textId="5F0BC166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Samodzielność w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działaniu</w:t>
            </w:r>
          </w:p>
        </w:tc>
        <w:tc>
          <w:tcPr>
            <w:tcW w:w="2977" w:type="dxa"/>
            <w:vAlign w:val="center"/>
          </w:tcPr>
          <w:p w14:paraId="000000B4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Efektywne wykonywanie zadań bez stałego nadzoru</w:t>
            </w:r>
          </w:p>
        </w:tc>
        <w:tc>
          <w:tcPr>
            <w:tcW w:w="8789" w:type="dxa"/>
            <w:vAlign w:val="center"/>
          </w:tcPr>
          <w:p w14:paraId="000000B5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Samodzielnie organizuje pracę i realizuje zadania w ustalonych terminach.</w:t>
            </w:r>
          </w:p>
          <w:p w14:paraId="000000B6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Rozwiązuje problemy bez konieczności stałego kierowania przez przełożonego.</w:t>
            </w:r>
          </w:p>
          <w:p w14:paraId="000000B7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Inicjuje działania, gdy widzi potrzebę, nie czekając na polecenia.</w:t>
            </w:r>
          </w:p>
          <w:p w14:paraId="000000B8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Odpowiada za jakość wykonywanej pracy i jej rezultaty.</w:t>
            </w:r>
          </w:p>
        </w:tc>
      </w:tr>
      <w:tr w:rsidR="00AF679A" w:rsidRPr="00435893" w14:paraId="341B27D2" w14:textId="77777777" w:rsidTr="00435893">
        <w:trPr>
          <w:trHeight w:val="738"/>
        </w:trPr>
        <w:tc>
          <w:tcPr>
            <w:tcW w:w="2127" w:type="dxa"/>
            <w:vMerge/>
          </w:tcPr>
          <w:p w14:paraId="000000B9" w14:textId="77777777" w:rsidR="00AF679A" w:rsidRPr="00435893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000000BA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Otwartość na rozwój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000000BB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Udział w działaniach rozwojowych</w:t>
            </w:r>
          </w:p>
        </w:tc>
        <w:tc>
          <w:tcPr>
            <w:tcW w:w="8789" w:type="dxa"/>
            <w:shd w:val="clear" w:color="auto" w:fill="F2F2F2"/>
            <w:vAlign w:val="center"/>
          </w:tcPr>
          <w:p w14:paraId="000000BC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Bierze udział w szkoleniach i innych formach rozwoju.</w:t>
            </w:r>
          </w:p>
          <w:p w14:paraId="000000BD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Wdraża nowo zdobytą wiedzę i umiejętności w codziennej pracy.</w:t>
            </w:r>
          </w:p>
          <w:p w14:paraId="000000BE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Poszukuje materiałów, publikacji i dobrych praktyk.</w:t>
            </w:r>
          </w:p>
          <w:p w14:paraId="000000BF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Korzysta z informacji zwrotnej i traktuje ją jako narzędzie rozwoju.</w:t>
            </w:r>
          </w:p>
        </w:tc>
      </w:tr>
      <w:tr w:rsidR="00AF679A" w:rsidRPr="00435893" w14:paraId="653E844E" w14:textId="77777777" w:rsidTr="00435893">
        <w:trPr>
          <w:trHeight w:val="738"/>
        </w:trPr>
        <w:tc>
          <w:tcPr>
            <w:tcW w:w="2127" w:type="dxa"/>
            <w:vMerge/>
          </w:tcPr>
          <w:p w14:paraId="000000C0" w14:textId="77777777" w:rsidR="00AF679A" w:rsidRPr="00435893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00000C1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Refleksyjność zawodowa</w:t>
            </w:r>
          </w:p>
        </w:tc>
        <w:tc>
          <w:tcPr>
            <w:tcW w:w="2977" w:type="dxa"/>
            <w:vAlign w:val="center"/>
          </w:tcPr>
          <w:p w14:paraId="000000C2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Umiejętność autorefleksji, wyciągania wniosków i wdrażania zmian</w:t>
            </w:r>
          </w:p>
        </w:tc>
        <w:tc>
          <w:tcPr>
            <w:tcW w:w="8789" w:type="dxa"/>
            <w:vAlign w:val="center"/>
          </w:tcPr>
          <w:p w14:paraId="000000C3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Analizuje swoje działania i wyciąga wnioski z sukcesów i błędów.</w:t>
            </w:r>
          </w:p>
          <w:p w14:paraId="000000C4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Modyfikuje podejście, gdy dotychczasowe było nieskuteczne.</w:t>
            </w:r>
          </w:p>
          <w:p w14:paraId="000000C5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Korzysta z informacji zwrotnej od klientów, zespołu i przełożonych.</w:t>
            </w:r>
          </w:p>
          <w:p w14:paraId="000000C6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Wdraża rekomendacje wynikające z omówionych trudnych sytuacji.</w:t>
            </w:r>
          </w:p>
        </w:tc>
      </w:tr>
      <w:tr w:rsidR="00AF679A" w:rsidRPr="00435893" w14:paraId="74E009B7" w14:textId="77777777" w:rsidTr="00435893">
        <w:trPr>
          <w:trHeight w:val="738"/>
        </w:trPr>
        <w:tc>
          <w:tcPr>
            <w:tcW w:w="2127" w:type="dxa"/>
            <w:vMerge/>
          </w:tcPr>
          <w:p w14:paraId="000000C7" w14:textId="77777777" w:rsidR="00AF679A" w:rsidRPr="00435893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000000C8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Potencjał rozwojowy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000000C9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Możliwość objęcia bardziej złożonych zadań lub ról</w:t>
            </w:r>
          </w:p>
        </w:tc>
        <w:tc>
          <w:tcPr>
            <w:tcW w:w="8789" w:type="dxa"/>
            <w:shd w:val="clear" w:color="auto" w:fill="F2F2F2"/>
            <w:vAlign w:val="center"/>
          </w:tcPr>
          <w:p w14:paraId="000000CA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Sprawnie wykonuje zadania o wyższym stopniu trudności.</w:t>
            </w:r>
          </w:p>
          <w:p w14:paraId="000000CB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Samodzielnie prowadzi procesy w ramach ZW.</w:t>
            </w:r>
          </w:p>
          <w:p w14:paraId="000000CC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Przejmuje odpowiedzialność za obszary wymagające koordynacji i decyzji.</w:t>
            </w:r>
          </w:p>
          <w:p w14:paraId="000000CD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Szybko uczy się nowych obowiązków i adaptuje do nich.</w:t>
            </w:r>
          </w:p>
        </w:tc>
      </w:tr>
      <w:tr w:rsidR="00AF679A" w:rsidRPr="00435893" w14:paraId="7F954BDB" w14:textId="77777777" w:rsidTr="00435893">
        <w:trPr>
          <w:trHeight w:val="738"/>
        </w:trPr>
        <w:tc>
          <w:tcPr>
            <w:tcW w:w="2127" w:type="dxa"/>
            <w:vMerge/>
          </w:tcPr>
          <w:p w14:paraId="000000CE" w14:textId="77777777" w:rsidR="00AF679A" w:rsidRPr="00435893" w:rsidRDefault="00AF679A" w:rsidP="0048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ptos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00000CF" w14:textId="77777777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Dzielenie się wiedzą i wspieranie rozwoju innych</w:t>
            </w:r>
          </w:p>
        </w:tc>
        <w:tc>
          <w:tcPr>
            <w:tcW w:w="2977" w:type="dxa"/>
            <w:vAlign w:val="center"/>
          </w:tcPr>
          <w:p w14:paraId="000000D0" w14:textId="6EFFBC4A" w:rsidR="00AF679A" w:rsidRPr="00435893" w:rsidRDefault="005F0829" w:rsidP="00480AFA">
            <w:pPr>
              <w:spacing w:before="60" w:after="60" w:line="360" w:lineRule="auto"/>
              <w:rPr>
                <w:rFonts w:eastAsia="Aptos" w:cs="Arial"/>
                <w:sz w:val="22"/>
                <w:szCs w:val="22"/>
              </w:rPr>
            </w:pPr>
            <w:r w:rsidRPr="00435893">
              <w:rPr>
                <w:rFonts w:eastAsia="Aptos" w:cs="Arial"/>
                <w:sz w:val="22"/>
                <w:szCs w:val="22"/>
              </w:rPr>
              <w:t>Aktywne przekazywanie wiedzy, wspieranie kolegów w nauce i</w:t>
            </w:r>
            <w:r w:rsidR="00435893">
              <w:rPr>
                <w:rFonts w:eastAsia="Aptos" w:cs="Arial"/>
                <w:sz w:val="22"/>
                <w:szCs w:val="22"/>
              </w:rPr>
              <w:t> </w:t>
            </w:r>
            <w:r w:rsidRPr="00435893">
              <w:rPr>
                <w:rFonts w:eastAsia="Aptos" w:cs="Arial"/>
                <w:sz w:val="22"/>
                <w:szCs w:val="22"/>
              </w:rPr>
              <w:t>wdrażaniu standardów MZW</w:t>
            </w:r>
          </w:p>
        </w:tc>
        <w:tc>
          <w:tcPr>
            <w:tcW w:w="8789" w:type="dxa"/>
            <w:vAlign w:val="center"/>
          </w:tcPr>
          <w:p w14:paraId="000000D1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Dzieli się wiedzą, materiałami i doświadczeniem zawodowym.</w:t>
            </w:r>
          </w:p>
          <w:p w14:paraId="000000D2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Wspiera nowych specjalistów w nauce i adaptacji do standardów MZW.</w:t>
            </w:r>
          </w:p>
          <w:p w14:paraId="000000D3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Udziela konstruktywnej informacji zwrotnej, gdy jest o nią proszony.</w:t>
            </w:r>
          </w:p>
          <w:p w14:paraId="000000D4" w14:textId="77777777" w:rsidR="00AF679A" w:rsidRPr="00435893" w:rsidRDefault="005F0829" w:rsidP="00480A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459" w:hanging="459"/>
              <w:rPr>
                <w:rFonts w:eastAsia="Aptos" w:cs="Arial"/>
                <w:color w:val="000000"/>
                <w:sz w:val="22"/>
                <w:szCs w:val="22"/>
              </w:rPr>
            </w:pPr>
            <w:r w:rsidRPr="00435893">
              <w:rPr>
                <w:rFonts w:eastAsia="Aptos" w:cs="Arial"/>
                <w:color w:val="000000"/>
                <w:sz w:val="22"/>
                <w:szCs w:val="22"/>
              </w:rPr>
              <w:t>Inicjuje wsparcie koleżeńskie w trudnych sytuacjach zawodowych.</w:t>
            </w:r>
          </w:p>
        </w:tc>
      </w:tr>
    </w:tbl>
    <w:p w14:paraId="000000D6" w14:textId="77777777" w:rsidR="00AF679A" w:rsidRPr="00480AFA" w:rsidRDefault="005F0829" w:rsidP="00480AFA">
      <w:pPr>
        <w:spacing w:line="360" w:lineRule="auto"/>
        <w:rPr>
          <w:rFonts w:cs="Arial"/>
          <w:szCs w:val="24"/>
        </w:rPr>
        <w:sectPr w:rsidR="00AF679A" w:rsidRPr="00480AFA" w:rsidSect="00435893">
          <w:pgSz w:w="16840" w:h="11906" w:orient="landscape"/>
          <w:pgMar w:top="709" w:right="1701" w:bottom="843" w:left="1418" w:header="142" w:footer="227" w:gutter="0"/>
          <w:cols w:space="708"/>
          <w:docGrid w:linePitch="326"/>
        </w:sectPr>
      </w:pPr>
      <w:r w:rsidRPr="00480AFA">
        <w:rPr>
          <w:rFonts w:cs="Arial"/>
        </w:rPr>
        <w:br w:type="page"/>
      </w:r>
    </w:p>
    <w:p w14:paraId="000000D7" w14:textId="4BC42E5F" w:rsidR="00AF679A" w:rsidRPr="00480AFA" w:rsidRDefault="005F0829" w:rsidP="00435893">
      <w:pPr>
        <w:pStyle w:val="Nagwek2"/>
        <w:numPr>
          <w:ilvl w:val="0"/>
          <w:numId w:val="10"/>
        </w:numPr>
        <w:spacing w:before="240" w:line="360" w:lineRule="auto"/>
        <w:rPr>
          <w:rFonts w:cs="Arial"/>
        </w:rPr>
      </w:pPr>
      <w:r w:rsidRPr="00480AFA">
        <w:rPr>
          <w:rFonts w:cs="Arial"/>
        </w:rPr>
        <w:lastRenderedPageBreak/>
        <w:t>Skala oceny</w:t>
      </w:r>
    </w:p>
    <w:p w14:paraId="000000D8" w14:textId="7E6E726C" w:rsidR="00AF679A" w:rsidRPr="00480AFA" w:rsidRDefault="005F0829" w:rsidP="00480AFA">
      <w:pPr>
        <w:spacing w:after="240" w:line="360" w:lineRule="auto"/>
        <w:rPr>
          <w:rFonts w:cs="Arial"/>
          <w:szCs w:val="24"/>
        </w:rPr>
      </w:pPr>
      <w:r w:rsidRPr="00435893">
        <w:rPr>
          <w:rFonts w:cs="Arial"/>
          <w:szCs w:val="24"/>
        </w:rPr>
        <w:t>Aby zapewnić spójność, obiektywność i porównywalność ocen pracy przedstawicieli kadry AZW, wprowadzono pięciostopniową skalę oceny kompetencji. Skala</w:t>
      </w:r>
      <w:r w:rsidRPr="00480AFA">
        <w:rPr>
          <w:rFonts w:cs="Arial"/>
          <w:szCs w:val="24"/>
        </w:rPr>
        <w:t xml:space="preserve"> ta stanowi narzędzie umożliwiające precyzyjne określenie poziomu funkcjonowania ocenianej osoby w każdym z</w:t>
      </w:r>
      <w:r w:rsidR="00435893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obszarów oceny, co pozwala na interpretację wyniku oraz minimalizuje ryzyko subiektywnej</w:t>
      </w:r>
      <w:r w:rsidR="00435893">
        <w:rPr>
          <w:rFonts w:cs="Arial"/>
          <w:szCs w:val="24"/>
        </w:rPr>
        <w:t> </w:t>
      </w:r>
      <w:r w:rsidRPr="00480AFA">
        <w:rPr>
          <w:rFonts w:cs="Arial"/>
          <w:szCs w:val="24"/>
        </w:rPr>
        <w:t>oceny.</w:t>
      </w:r>
    </w:p>
    <w:p w14:paraId="7D8730B4" w14:textId="11D7EF20" w:rsidR="00435893" w:rsidRDefault="00435893" w:rsidP="00435893">
      <w:pPr>
        <w:pStyle w:val="Legenda"/>
        <w:keepNext/>
      </w:pPr>
      <w:bookmarkStart w:id="10" w:name="_Toc225847068"/>
      <w:bookmarkStart w:id="11" w:name="_Toc227166526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5</w:t>
      </w:r>
      <w:bookmarkEnd w:id="10"/>
      <w:r>
        <w:rPr>
          <w:noProof/>
        </w:rPr>
        <w:fldChar w:fldCharType="end"/>
      </w:r>
      <w:r w:rsidR="00CA5996">
        <w:rPr>
          <w:noProof/>
        </w:rPr>
        <w:t>. Skala oceny</w:t>
      </w:r>
      <w:bookmarkEnd w:id="11"/>
    </w:p>
    <w:tbl>
      <w:tblPr>
        <w:tblStyle w:val="ab"/>
        <w:tblW w:w="1042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90"/>
        <w:gridCol w:w="2070"/>
        <w:gridCol w:w="7365"/>
      </w:tblGrid>
      <w:tr w:rsidR="00AF679A" w:rsidRPr="00480AFA" w14:paraId="5493BE0E" w14:textId="77777777" w:rsidTr="00435893">
        <w:trPr>
          <w:trHeight w:val="567"/>
        </w:trPr>
        <w:tc>
          <w:tcPr>
            <w:tcW w:w="990" w:type="dxa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D9" w14:textId="77777777" w:rsidR="00AF679A" w:rsidRPr="00435893" w:rsidRDefault="005F0829" w:rsidP="00480AFA">
            <w:pPr>
              <w:spacing w:before="60" w:after="60" w:line="360" w:lineRule="auto"/>
              <w:rPr>
                <w:rFonts w:cs="Arial"/>
                <w:b/>
                <w:bCs/>
                <w:sz w:val="22"/>
                <w:szCs w:val="20"/>
              </w:rPr>
            </w:pPr>
            <w:r w:rsidRPr="00435893">
              <w:rPr>
                <w:rFonts w:cs="Arial"/>
                <w:b/>
                <w:bCs/>
                <w:sz w:val="22"/>
                <w:szCs w:val="20"/>
              </w:rPr>
              <w:t>Ocena</w:t>
            </w:r>
          </w:p>
        </w:tc>
        <w:tc>
          <w:tcPr>
            <w:tcW w:w="2070" w:type="dxa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DA" w14:textId="77777777" w:rsidR="00AF679A" w:rsidRPr="00435893" w:rsidRDefault="005F0829" w:rsidP="00480AFA">
            <w:pPr>
              <w:spacing w:before="60" w:after="60" w:line="360" w:lineRule="auto"/>
              <w:rPr>
                <w:rFonts w:cs="Arial"/>
                <w:b/>
                <w:bCs/>
                <w:sz w:val="22"/>
                <w:szCs w:val="20"/>
              </w:rPr>
            </w:pPr>
            <w:r w:rsidRPr="00435893">
              <w:rPr>
                <w:rFonts w:cs="Arial"/>
                <w:b/>
                <w:bCs/>
                <w:sz w:val="22"/>
                <w:szCs w:val="20"/>
              </w:rPr>
              <w:t>Poziom</w:t>
            </w:r>
          </w:p>
        </w:tc>
        <w:tc>
          <w:tcPr>
            <w:tcW w:w="7365" w:type="dxa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DB" w14:textId="77777777" w:rsidR="00AF679A" w:rsidRPr="00435893" w:rsidRDefault="005F0829" w:rsidP="00480AFA">
            <w:pPr>
              <w:spacing w:before="60" w:after="60" w:line="360" w:lineRule="auto"/>
              <w:rPr>
                <w:rFonts w:cs="Arial"/>
                <w:b/>
                <w:bCs/>
                <w:sz w:val="22"/>
                <w:szCs w:val="20"/>
              </w:rPr>
            </w:pPr>
            <w:r w:rsidRPr="00435893">
              <w:rPr>
                <w:rFonts w:cs="Arial"/>
                <w:b/>
                <w:bCs/>
                <w:sz w:val="22"/>
                <w:szCs w:val="20"/>
              </w:rPr>
              <w:t>Opis poziomu</w:t>
            </w:r>
          </w:p>
        </w:tc>
      </w:tr>
      <w:tr w:rsidR="00AF679A" w:rsidRPr="00480AFA" w14:paraId="1ED718F3" w14:textId="77777777" w:rsidTr="00435893">
        <w:trPr>
          <w:trHeight w:val="567"/>
        </w:trPr>
        <w:tc>
          <w:tcPr>
            <w:tcW w:w="99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DC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eastAsia="Arial" w:cs="Arial"/>
                <w:b/>
                <w:bCs/>
                <w:sz w:val="22"/>
                <w:szCs w:val="20"/>
              </w:rPr>
            </w:pPr>
            <w:bookmarkStart w:id="12" w:name="_heading=h.7vc254wz4jjm" w:colFirst="0" w:colLast="0"/>
            <w:bookmarkEnd w:id="12"/>
            <w:r w:rsidRPr="00435893">
              <w:rPr>
                <w:rFonts w:eastAsia="Arial" w:cs="Arial"/>
                <w:b/>
                <w:bCs/>
                <w:sz w:val="22"/>
                <w:szCs w:val="20"/>
              </w:rPr>
              <w:t>0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DD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niezadowalająca</w:t>
            </w:r>
          </w:p>
        </w:tc>
        <w:tc>
          <w:tcPr>
            <w:tcW w:w="73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DE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poniżej oczekiwanego poziomu</w:t>
            </w:r>
          </w:p>
        </w:tc>
      </w:tr>
      <w:tr w:rsidR="00AF679A" w:rsidRPr="00480AFA" w14:paraId="6CE92A50" w14:textId="77777777" w:rsidTr="00435893">
        <w:trPr>
          <w:trHeight w:val="567"/>
        </w:trPr>
        <w:tc>
          <w:tcPr>
            <w:tcW w:w="99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DF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eastAsia="Arial" w:cs="Arial"/>
                <w:b/>
                <w:bCs/>
                <w:sz w:val="22"/>
                <w:szCs w:val="20"/>
              </w:rPr>
            </w:pPr>
            <w:r w:rsidRPr="00435893">
              <w:rPr>
                <w:rFonts w:eastAsia="Arial" w:cs="Arial"/>
                <w:b/>
                <w:bCs/>
                <w:sz w:val="22"/>
                <w:szCs w:val="20"/>
              </w:rPr>
              <w:t>1</w:t>
            </w:r>
          </w:p>
        </w:tc>
        <w:tc>
          <w:tcPr>
            <w:tcW w:w="207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0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wymaga poprawy</w:t>
            </w:r>
          </w:p>
        </w:tc>
        <w:tc>
          <w:tcPr>
            <w:tcW w:w="7365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1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spełnia minimalne wymagania</w:t>
            </w:r>
          </w:p>
        </w:tc>
      </w:tr>
      <w:tr w:rsidR="00AF679A" w:rsidRPr="00480AFA" w14:paraId="4D5D2790" w14:textId="77777777" w:rsidTr="00435893">
        <w:trPr>
          <w:trHeight w:val="567"/>
        </w:trPr>
        <w:tc>
          <w:tcPr>
            <w:tcW w:w="99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2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eastAsia="Arial" w:cs="Arial"/>
                <w:b/>
                <w:bCs/>
                <w:sz w:val="22"/>
                <w:szCs w:val="20"/>
              </w:rPr>
            </w:pPr>
            <w:r w:rsidRPr="00435893">
              <w:rPr>
                <w:rFonts w:eastAsia="Arial" w:cs="Arial"/>
                <w:b/>
                <w:bCs/>
                <w:sz w:val="22"/>
                <w:szCs w:val="20"/>
              </w:rPr>
              <w:t>2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3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zadowalająca</w:t>
            </w:r>
          </w:p>
        </w:tc>
        <w:tc>
          <w:tcPr>
            <w:tcW w:w="73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4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odpowiada standardowym oczekiwaniom</w:t>
            </w:r>
          </w:p>
        </w:tc>
      </w:tr>
      <w:tr w:rsidR="00AF679A" w:rsidRPr="00480AFA" w14:paraId="2802A013" w14:textId="77777777" w:rsidTr="00435893">
        <w:trPr>
          <w:trHeight w:val="567"/>
        </w:trPr>
        <w:tc>
          <w:tcPr>
            <w:tcW w:w="99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5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eastAsia="Arial" w:cs="Arial"/>
                <w:b/>
                <w:bCs/>
                <w:sz w:val="22"/>
                <w:szCs w:val="20"/>
              </w:rPr>
            </w:pPr>
            <w:r w:rsidRPr="00435893">
              <w:rPr>
                <w:rFonts w:eastAsia="Arial" w:cs="Arial"/>
                <w:b/>
                <w:bCs/>
                <w:sz w:val="22"/>
                <w:szCs w:val="20"/>
              </w:rPr>
              <w:t>3</w:t>
            </w:r>
          </w:p>
        </w:tc>
        <w:tc>
          <w:tcPr>
            <w:tcW w:w="207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6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dobra</w:t>
            </w:r>
          </w:p>
        </w:tc>
        <w:tc>
          <w:tcPr>
            <w:tcW w:w="7365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7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przekracza standardowe oczekiwania</w:t>
            </w:r>
          </w:p>
        </w:tc>
      </w:tr>
      <w:tr w:rsidR="00AF679A" w:rsidRPr="00480AFA" w14:paraId="7A3D2550" w14:textId="77777777" w:rsidTr="00435893">
        <w:trPr>
          <w:trHeight w:val="567"/>
        </w:trPr>
        <w:tc>
          <w:tcPr>
            <w:tcW w:w="99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8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eastAsia="Arial" w:cs="Arial"/>
                <w:b/>
                <w:bCs/>
                <w:sz w:val="22"/>
                <w:szCs w:val="20"/>
              </w:rPr>
            </w:pPr>
            <w:r w:rsidRPr="00435893">
              <w:rPr>
                <w:rFonts w:eastAsia="Arial" w:cs="Arial"/>
                <w:b/>
                <w:bCs/>
                <w:sz w:val="22"/>
                <w:szCs w:val="20"/>
              </w:rPr>
              <w:t>4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9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wzorowa</w:t>
            </w:r>
          </w:p>
        </w:tc>
        <w:tc>
          <w:tcPr>
            <w:tcW w:w="73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EA" w14:textId="77777777" w:rsidR="00AF679A" w:rsidRPr="00435893" w:rsidRDefault="005F0829" w:rsidP="00480AFA">
            <w:pPr>
              <w:spacing w:before="60" w:after="60" w:line="360" w:lineRule="auto"/>
              <w:ind w:left="40"/>
              <w:rPr>
                <w:rFonts w:cs="Arial"/>
                <w:sz w:val="22"/>
                <w:szCs w:val="20"/>
              </w:rPr>
            </w:pPr>
            <w:r w:rsidRPr="00435893">
              <w:rPr>
                <w:rFonts w:cs="Arial"/>
                <w:sz w:val="22"/>
                <w:szCs w:val="20"/>
              </w:rPr>
              <w:t>znacznie powyżej oczekiwań</w:t>
            </w:r>
          </w:p>
        </w:tc>
      </w:tr>
    </w:tbl>
    <w:p w14:paraId="000000EB" w14:textId="2692DFEF" w:rsidR="00AF679A" w:rsidRPr="00480AFA" w:rsidRDefault="00AF679A" w:rsidP="00435893">
      <w:pPr>
        <w:tabs>
          <w:tab w:val="left" w:pos="1095"/>
          <w:tab w:val="left" w:pos="3165"/>
        </w:tabs>
        <w:spacing w:before="60" w:after="60" w:line="360" w:lineRule="auto"/>
        <w:rPr>
          <w:rFonts w:cs="Arial"/>
        </w:rPr>
      </w:pPr>
    </w:p>
    <w:p w14:paraId="000000EC" w14:textId="42CDB810" w:rsidR="00AF679A" w:rsidRPr="00480AFA" w:rsidRDefault="005F0829" w:rsidP="00435893">
      <w:pPr>
        <w:pStyle w:val="Nagwek2"/>
        <w:numPr>
          <w:ilvl w:val="0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t>Proces oceny</w:t>
      </w:r>
    </w:p>
    <w:p w14:paraId="000000ED" w14:textId="77777777" w:rsidR="00AF679A" w:rsidRPr="00480AFA" w:rsidRDefault="005F0829" w:rsidP="00480A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cs="Arial"/>
          <w:color w:val="000000"/>
          <w:szCs w:val="24"/>
        </w:rPr>
      </w:pPr>
      <w:r w:rsidRPr="00480AFA">
        <w:rPr>
          <w:rFonts w:cs="Arial"/>
          <w:b/>
          <w:bCs/>
          <w:color w:val="000000"/>
          <w:szCs w:val="24"/>
        </w:rPr>
        <w:t>Przygotowanie (2 tyg. przed spotkaniem)</w:t>
      </w:r>
    </w:p>
    <w:p w14:paraId="000000EE" w14:textId="78FA5CE0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 xml:space="preserve">Przełożony wypełnia wstępną ocenę w </w:t>
      </w:r>
      <w:r w:rsidR="05BFA17A" w:rsidRPr="00480AFA">
        <w:rPr>
          <w:rFonts w:cs="Arial"/>
          <w:color w:val="000000" w:themeColor="text1"/>
          <w:szCs w:val="24"/>
        </w:rPr>
        <w:t>f</w:t>
      </w:r>
      <w:r w:rsidRPr="00480AFA">
        <w:rPr>
          <w:rFonts w:cs="Arial"/>
          <w:color w:val="000000" w:themeColor="text1"/>
          <w:szCs w:val="24"/>
        </w:rPr>
        <w:t>ormularzu oceny przełożonego.</w:t>
      </w:r>
    </w:p>
    <w:p w14:paraId="000000EF" w14:textId="044B1555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 xml:space="preserve">Oceniany specjalista wypełnia samoocenę w </w:t>
      </w:r>
      <w:r w:rsidR="640481F2" w:rsidRPr="00480AFA">
        <w:rPr>
          <w:rFonts w:cs="Arial"/>
          <w:color w:val="000000" w:themeColor="text1"/>
          <w:szCs w:val="24"/>
        </w:rPr>
        <w:t>f</w:t>
      </w:r>
      <w:r w:rsidRPr="00480AFA">
        <w:rPr>
          <w:rFonts w:cs="Arial"/>
          <w:color w:val="000000" w:themeColor="text1"/>
          <w:szCs w:val="24"/>
        </w:rPr>
        <w:t>ormularzu samooceny pracownika.</w:t>
      </w:r>
    </w:p>
    <w:p w14:paraId="000000F0" w14:textId="77777777" w:rsidR="00AF679A" w:rsidRPr="00480AFA" w:rsidRDefault="005F0829" w:rsidP="00480A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cs="Arial"/>
          <w:b/>
          <w:bCs/>
          <w:color w:val="000000"/>
          <w:szCs w:val="24"/>
        </w:rPr>
      </w:pPr>
      <w:r w:rsidRPr="00480AFA">
        <w:rPr>
          <w:rFonts w:cs="Arial"/>
          <w:b/>
          <w:bCs/>
          <w:color w:val="000000"/>
          <w:szCs w:val="24"/>
        </w:rPr>
        <w:t>Spotkanie oceniające (60–90 min)</w:t>
      </w:r>
    </w:p>
    <w:p w14:paraId="000000F1" w14:textId="77777777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Porównanie samooceny z oceną przełożonego; omówienie różnic.</w:t>
      </w:r>
    </w:p>
    <w:p w14:paraId="000000F2" w14:textId="77777777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Omówienie wyników względem celów.</w:t>
      </w:r>
    </w:p>
    <w:p w14:paraId="000000F3" w14:textId="77777777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Identyfikacja mocnych stron i obszarów do rozwoju.</w:t>
      </w:r>
    </w:p>
    <w:p w14:paraId="000000F4" w14:textId="239A516E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 xml:space="preserve">Ustalenie konkretnych celów na kolejny okres i planu działań w </w:t>
      </w:r>
      <w:r w:rsidR="57B9AF15" w:rsidRPr="00480AFA">
        <w:rPr>
          <w:rFonts w:cs="Arial"/>
          <w:color w:val="000000" w:themeColor="text1"/>
          <w:szCs w:val="24"/>
        </w:rPr>
        <w:t>k</w:t>
      </w:r>
      <w:r w:rsidRPr="00480AFA">
        <w:rPr>
          <w:rFonts w:cs="Arial"/>
          <w:color w:val="000000" w:themeColor="text1"/>
          <w:szCs w:val="24"/>
        </w:rPr>
        <w:t>arcie rozwoju zawodowego.</w:t>
      </w:r>
    </w:p>
    <w:p w14:paraId="000000F5" w14:textId="6B5707DB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lastRenderedPageBreak/>
        <w:t>Jeśli to konieczne - ustalenie działań korygujących z jasno określonymi oczekiwaniami i</w:t>
      </w:r>
      <w:r w:rsidR="00435893">
        <w:rPr>
          <w:rFonts w:cs="Arial"/>
          <w:color w:val="000000"/>
          <w:szCs w:val="24"/>
        </w:rPr>
        <w:t> </w:t>
      </w:r>
      <w:r w:rsidRPr="00480AFA">
        <w:rPr>
          <w:rFonts w:cs="Arial"/>
          <w:color w:val="000000"/>
          <w:szCs w:val="24"/>
        </w:rPr>
        <w:t>terminami.</w:t>
      </w:r>
    </w:p>
    <w:p w14:paraId="000000F6" w14:textId="176526C1" w:rsidR="00AF679A" w:rsidRPr="00480AFA" w:rsidRDefault="005F0829" w:rsidP="00435893">
      <w:pPr>
        <w:pStyle w:val="Nagwek2"/>
        <w:numPr>
          <w:ilvl w:val="0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t>Role i odpowiedzialności</w:t>
      </w:r>
    </w:p>
    <w:p w14:paraId="000000F7" w14:textId="77777777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12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Specjalista przygotowuje samoocenę, aktywnie uczestniczy w spotkaniu, realizuje plan rozwoju.</w:t>
      </w:r>
    </w:p>
    <w:p w14:paraId="000000F8" w14:textId="77777777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12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Przełożony przygotowuje ocenę, prowadzi spotkanie, ustala cele i wspiera realizację planu rozwojowego.</w:t>
      </w:r>
    </w:p>
    <w:p w14:paraId="000000F9" w14:textId="77777777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Osoba zarządzająca AZW podejmuje decyzje na podstawie zatwierdzonych ocen.</w:t>
      </w:r>
    </w:p>
    <w:p w14:paraId="000000FA" w14:textId="1EDF47B8" w:rsidR="00AF679A" w:rsidRPr="00480AFA" w:rsidRDefault="005F0829" w:rsidP="00435893">
      <w:pPr>
        <w:pStyle w:val="Nagwek2"/>
        <w:numPr>
          <w:ilvl w:val="0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t>Odwołania od wyników oceny</w:t>
      </w:r>
    </w:p>
    <w:p w14:paraId="000000FB" w14:textId="0CDD5EE1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12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 xml:space="preserve">Specjalista ma prawo zgłosić zastrzeżenia do oceny w terminie </w:t>
      </w:r>
      <w:r w:rsidRPr="00480AFA">
        <w:rPr>
          <w:rFonts w:cs="Arial"/>
          <w:szCs w:val="24"/>
        </w:rPr>
        <w:t>7</w:t>
      </w:r>
      <w:r w:rsidRPr="00480AFA">
        <w:rPr>
          <w:rFonts w:cs="Arial"/>
          <w:color w:val="000000"/>
          <w:szCs w:val="24"/>
        </w:rPr>
        <w:t xml:space="preserve"> dni od</w:t>
      </w:r>
      <w:r w:rsidR="00435893">
        <w:rPr>
          <w:rFonts w:cs="Arial"/>
          <w:color w:val="000000"/>
          <w:szCs w:val="24"/>
        </w:rPr>
        <w:t> </w:t>
      </w:r>
      <w:r w:rsidRPr="00480AFA">
        <w:rPr>
          <w:rFonts w:cs="Arial"/>
          <w:color w:val="000000"/>
          <w:szCs w:val="24"/>
        </w:rPr>
        <w:t>podpisania</w:t>
      </w:r>
      <w:r w:rsidR="00435893">
        <w:rPr>
          <w:rFonts w:cs="Arial"/>
          <w:color w:val="000000"/>
          <w:szCs w:val="24"/>
        </w:rPr>
        <w:t> </w:t>
      </w:r>
      <w:r w:rsidRPr="00480AFA">
        <w:rPr>
          <w:rFonts w:cs="Arial"/>
          <w:color w:val="000000"/>
          <w:szCs w:val="24"/>
        </w:rPr>
        <w:t>oceny.</w:t>
      </w:r>
    </w:p>
    <w:p w14:paraId="000000FC" w14:textId="54E0500B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12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 xml:space="preserve">Procedura: zgłoszenie do </w:t>
      </w:r>
      <w:r w:rsidR="3D0800C2" w:rsidRPr="00480AFA">
        <w:rPr>
          <w:rFonts w:cs="Arial"/>
          <w:color w:val="000000" w:themeColor="text1"/>
          <w:szCs w:val="24"/>
        </w:rPr>
        <w:t>o</w:t>
      </w:r>
      <w:r w:rsidRPr="00480AFA">
        <w:rPr>
          <w:rFonts w:cs="Arial"/>
          <w:color w:val="000000" w:themeColor="text1"/>
          <w:szCs w:val="24"/>
        </w:rPr>
        <w:t>soby zarządzającej AZW lub osoby przez nią wyznaczonej -&gt; rozmowa wyjaśniająca z przełożonym -&gt; ponowne rozpatrzenie wyników oceny w</w:t>
      </w:r>
      <w:r w:rsidR="00435893">
        <w:rPr>
          <w:rFonts w:cs="Arial"/>
          <w:color w:val="000000" w:themeColor="text1"/>
          <w:szCs w:val="24"/>
        </w:rPr>
        <w:t> </w:t>
      </w:r>
      <w:r w:rsidRPr="00480AFA">
        <w:rPr>
          <w:rFonts w:cs="Arial"/>
          <w:color w:val="000000" w:themeColor="text1"/>
          <w:szCs w:val="24"/>
        </w:rPr>
        <w:t>przypadku zasadnych zastrzeżeń lub podtrzymanie dotychczasowej oceny, jeśli</w:t>
      </w:r>
      <w:r w:rsidR="00435893">
        <w:rPr>
          <w:rFonts w:cs="Arial"/>
          <w:color w:val="000000" w:themeColor="text1"/>
          <w:szCs w:val="24"/>
        </w:rPr>
        <w:t> </w:t>
      </w:r>
      <w:r w:rsidRPr="00480AFA">
        <w:rPr>
          <w:rFonts w:cs="Arial"/>
          <w:color w:val="000000" w:themeColor="text1"/>
          <w:szCs w:val="24"/>
        </w:rPr>
        <w:t>zastrzeżenia okażą się niezasadne.</w:t>
      </w:r>
    </w:p>
    <w:p w14:paraId="000000FD" w14:textId="0373EE9C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 xml:space="preserve">Ostateczne decyzje dotyczące zmian w ocenie podejmuje </w:t>
      </w:r>
      <w:r w:rsidR="18C15CE5" w:rsidRPr="00480AFA">
        <w:rPr>
          <w:rFonts w:cs="Arial"/>
          <w:color w:val="000000" w:themeColor="text1"/>
          <w:szCs w:val="24"/>
        </w:rPr>
        <w:t>o</w:t>
      </w:r>
      <w:r w:rsidRPr="00480AFA">
        <w:rPr>
          <w:rFonts w:cs="Arial"/>
          <w:color w:val="000000" w:themeColor="text1"/>
          <w:szCs w:val="24"/>
        </w:rPr>
        <w:t>soba zarządzająca AZW.</w:t>
      </w:r>
    </w:p>
    <w:p w14:paraId="000000FE" w14:textId="386E9735" w:rsidR="00AF679A" w:rsidRPr="00480AFA" w:rsidRDefault="005F0829" w:rsidP="00435893">
      <w:pPr>
        <w:pStyle w:val="Nagwek2"/>
        <w:numPr>
          <w:ilvl w:val="0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t>Poufność i ochrona danych</w:t>
      </w:r>
    </w:p>
    <w:p w14:paraId="000000FF" w14:textId="08037931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12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 xml:space="preserve">Wszystkie dokumenty oceny są traktowane jako poufne; dostęp mają tylko upoważnione osoby (oceniany specjalista, przełożony, </w:t>
      </w:r>
      <w:r w:rsidR="294554F5" w:rsidRPr="00480AFA">
        <w:rPr>
          <w:rFonts w:cs="Arial"/>
          <w:color w:val="000000" w:themeColor="text1"/>
          <w:szCs w:val="24"/>
        </w:rPr>
        <w:t>o</w:t>
      </w:r>
      <w:r w:rsidRPr="00480AFA">
        <w:rPr>
          <w:rFonts w:cs="Arial"/>
          <w:color w:val="000000" w:themeColor="text1"/>
          <w:szCs w:val="24"/>
        </w:rPr>
        <w:t>soba zarządzająca AZW lub</w:t>
      </w:r>
      <w:r w:rsidR="00435893">
        <w:rPr>
          <w:rFonts w:cs="Arial"/>
          <w:color w:val="000000" w:themeColor="text1"/>
          <w:szCs w:val="24"/>
        </w:rPr>
        <w:t> </w:t>
      </w:r>
      <w:r w:rsidRPr="00480AFA">
        <w:rPr>
          <w:rFonts w:cs="Arial"/>
          <w:color w:val="000000" w:themeColor="text1"/>
          <w:szCs w:val="24"/>
        </w:rPr>
        <w:t>osoba przez nią wyznaczona).</w:t>
      </w:r>
    </w:p>
    <w:p w14:paraId="0B67089C" w14:textId="4670F566" w:rsidR="00AF679A" w:rsidRPr="00435893" w:rsidRDefault="005F0829" w:rsidP="004358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Dane przechowywane są zgodnie z polityką ochrony danych osobowych i RODO.</w:t>
      </w:r>
      <w:r w:rsidR="00435893" w:rsidRPr="00435893">
        <w:rPr>
          <w:rFonts w:cs="Arial"/>
          <w:color w:val="000000"/>
          <w:szCs w:val="24"/>
        </w:rPr>
        <w:br w:type="page"/>
      </w:r>
    </w:p>
    <w:p w14:paraId="00000101" w14:textId="60D264F1" w:rsidR="00AF679A" w:rsidRPr="00480AFA" w:rsidRDefault="005F0829" w:rsidP="00435893">
      <w:pPr>
        <w:pStyle w:val="Nagwek2"/>
        <w:numPr>
          <w:ilvl w:val="0"/>
          <w:numId w:val="10"/>
        </w:numPr>
        <w:spacing w:line="360" w:lineRule="auto"/>
        <w:rPr>
          <w:rFonts w:cs="Arial"/>
        </w:rPr>
      </w:pPr>
      <w:r w:rsidRPr="00480AFA">
        <w:rPr>
          <w:rFonts w:cs="Arial"/>
        </w:rPr>
        <w:lastRenderedPageBreak/>
        <w:t>Działania po ocenie: rozwój i monitoring</w:t>
      </w:r>
    </w:p>
    <w:p w14:paraId="00000102" w14:textId="6BBE1A44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12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 w:themeColor="text1"/>
          <w:szCs w:val="24"/>
        </w:rPr>
        <w:t xml:space="preserve">Na podstawie </w:t>
      </w:r>
      <w:r w:rsidR="7D860ED5" w:rsidRPr="00480AFA">
        <w:rPr>
          <w:rFonts w:cs="Arial"/>
          <w:color w:val="000000" w:themeColor="text1"/>
          <w:szCs w:val="24"/>
        </w:rPr>
        <w:t>k</w:t>
      </w:r>
      <w:r w:rsidRPr="00480AFA">
        <w:rPr>
          <w:rFonts w:cs="Arial"/>
          <w:color w:val="000000" w:themeColor="text1"/>
          <w:szCs w:val="24"/>
        </w:rPr>
        <w:t>arty rozwoju zawodowego ustala się konkretne działania rozwojowe.</w:t>
      </w:r>
    </w:p>
    <w:p w14:paraId="00000103" w14:textId="77777777" w:rsidR="00AF679A" w:rsidRPr="00480AFA" w:rsidRDefault="005F0829" w:rsidP="00480A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after="240" w:line="360" w:lineRule="auto"/>
        <w:ind w:left="993" w:hanging="283"/>
        <w:rPr>
          <w:rFonts w:cs="Arial"/>
          <w:color w:val="000000"/>
          <w:szCs w:val="24"/>
        </w:rPr>
      </w:pPr>
      <w:r w:rsidRPr="00480AFA">
        <w:rPr>
          <w:rFonts w:cs="Arial"/>
          <w:color w:val="000000"/>
          <w:szCs w:val="24"/>
        </w:rPr>
        <w:t>Realizacja działań rozwojowych jest monitorowana przez przełożonego.</w:t>
      </w:r>
    </w:p>
    <w:p w14:paraId="00000104" w14:textId="12D9BD91" w:rsidR="00AF679A" w:rsidRPr="00480AFA" w:rsidRDefault="005F0829" w:rsidP="00CA5996">
      <w:pPr>
        <w:pStyle w:val="Nagwek2"/>
        <w:spacing w:line="360" w:lineRule="auto"/>
        <w:rPr>
          <w:rFonts w:cs="Arial"/>
        </w:rPr>
      </w:pPr>
      <w:r w:rsidRPr="00480AFA">
        <w:rPr>
          <w:rFonts w:cs="Arial"/>
        </w:rPr>
        <w:t>Załączniki do Systemu oceny kadry AZW</w:t>
      </w:r>
    </w:p>
    <w:p w14:paraId="4982E6B0" w14:textId="6A6BCDEA" w:rsidR="0E39A970" w:rsidRPr="00CA5996" w:rsidRDefault="0E39A970" w:rsidP="00480AFA">
      <w:pPr>
        <w:pStyle w:val="Akapitzlist"/>
        <w:numPr>
          <w:ilvl w:val="0"/>
          <w:numId w:val="1"/>
        </w:numPr>
        <w:spacing w:after="120" w:line="360" w:lineRule="auto"/>
        <w:rPr>
          <w:rFonts w:ascii="Lato" w:eastAsiaTheme="minorEastAsia" w:hAnsi="Lato" w:cs="Arial"/>
          <w:color w:val="000000" w:themeColor="text1"/>
          <w:sz w:val="24"/>
          <w:szCs w:val="24"/>
        </w:rPr>
      </w:pPr>
      <w:r w:rsidRPr="00CA5996">
        <w:rPr>
          <w:rFonts w:ascii="Lato" w:eastAsiaTheme="minorEastAsia" w:hAnsi="Lato" w:cs="Arial"/>
          <w:color w:val="000000" w:themeColor="text1"/>
          <w:sz w:val="24"/>
          <w:szCs w:val="24"/>
        </w:rPr>
        <w:t>Przykładowy test na stanowisko trenera pracy w AZW</w:t>
      </w:r>
    </w:p>
    <w:p w14:paraId="6BF7CFF8" w14:textId="6686579C" w:rsidR="0E39A970" w:rsidRPr="00CA5996" w:rsidRDefault="0E39A970" w:rsidP="00480AFA">
      <w:pPr>
        <w:pStyle w:val="Akapitzlist"/>
        <w:numPr>
          <w:ilvl w:val="0"/>
          <w:numId w:val="1"/>
        </w:numPr>
        <w:spacing w:after="120" w:line="360" w:lineRule="auto"/>
        <w:rPr>
          <w:rFonts w:ascii="Lato" w:eastAsiaTheme="minorEastAsia" w:hAnsi="Lato" w:cs="Arial"/>
          <w:sz w:val="24"/>
          <w:szCs w:val="24"/>
        </w:rPr>
      </w:pPr>
      <w:r w:rsidRPr="00CA5996">
        <w:rPr>
          <w:rFonts w:ascii="Lato" w:eastAsiaTheme="minorEastAsia" w:hAnsi="Lato" w:cs="Arial"/>
          <w:color w:val="000000" w:themeColor="text1"/>
          <w:sz w:val="24"/>
          <w:szCs w:val="24"/>
        </w:rPr>
        <w:t>Formularz oceny (załącznik w formacie .xls)</w:t>
      </w:r>
    </w:p>
    <w:p w14:paraId="4C6AC5A9" w14:textId="0FE1E235" w:rsidR="0E39A970" w:rsidRPr="00CA5996" w:rsidRDefault="0E39A970" w:rsidP="00480AFA">
      <w:pPr>
        <w:pStyle w:val="Akapitzlist"/>
        <w:numPr>
          <w:ilvl w:val="0"/>
          <w:numId w:val="1"/>
        </w:numPr>
        <w:spacing w:after="120" w:line="360" w:lineRule="auto"/>
        <w:rPr>
          <w:rFonts w:ascii="Lato" w:hAnsi="Lato" w:cs="Arial"/>
          <w:color w:val="000000" w:themeColor="text1"/>
          <w:sz w:val="24"/>
          <w:szCs w:val="24"/>
        </w:rPr>
      </w:pPr>
      <w:r w:rsidRPr="00CA5996">
        <w:rPr>
          <w:rFonts w:ascii="Lato" w:hAnsi="Lato" w:cs="Arial"/>
          <w:sz w:val="24"/>
          <w:szCs w:val="24"/>
        </w:rPr>
        <w:t>Formularz samooceny (</w:t>
      </w:r>
      <w:r w:rsidRPr="00CA5996">
        <w:rPr>
          <w:rFonts w:ascii="Lato" w:hAnsi="Lato" w:cs="Arial"/>
          <w:color w:val="000000" w:themeColor="text1"/>
          <w:sz w:val="24"/>
          <w:szCs w:val="24"/>
        </w:rPr>
        <w:t>załącznik w formacie .xls)</w:t>
      </w:r>
    </w:p>
    <w:p w14:paraId="3B4ABD3B" w14:textId="0BFDA7D8" w:rsidR="0E39A970" w:rsidRPr="00CA5996" w:rsidRDefault="0E39A970" w:rsidP="00CA5996">
      <w:pPr>
        <w:pStyle w:val="Akapitzlist"/>
        <w:numPr>
          <w:ilvl w:val="0"/>
          <w:numId w:val="1"/>
        </w:numPr>
        <w:spacing w:after="240" w:line="360" w:lineRule="auto"/>
        <w:ind w:left="924" w:hanging="924"/>
        <w:rPr>
          <w:rFonts w:ascii="Lato" w:hAnsi="Lato" w:cs="Arial"/>
          <w:color w:val="000000" w:themeColor="text1"/>
          <w:sz w:val="24"/>
          <w:szCs w:val="24"/>
        </w:rPr>
      </w:pPr>
      <w:r w:rsidRPr="00CA5996">
        <w:rPr>
          <w:rFonts w:ascii="Lato" w:hAnsi="Lato" w:cs="Arial"/>
          <w:color w:val="000000" w:themeColor="text1"/>
          <w:sz w:val="24"/>
          <w:szCs w:val="24"/>
        </w:rPr>
        <w:t>Przykładowa karta rozwoju zawodowego trenera pracy</w:t>
      </w:r>
    </w:p>
    <w:p w14:paraId="63AB79B7" w14:textId="77D33366" w:rsidR="004764B5" w:rsidRDefault="004764B5" w:rsidP="004764B5">
      <w:pPr>
        <w:pStyle w:val="Nagwek2"/>
      </w:pPr>
      <w:r>
        <w:t>Spis tabeli</w:t>
      </w:r>
    </w:p>
    <w:p w14:paraId="3570CA9C" w14:textId="677C9C00" w:rsidR="00CA5996" w:rsidRDefault="00CA5996" w:rsidP="00CA5996">
      <w:pPr>
        <w:pStyle w:val="Spisilustracji"/>
        <w:tabs>
          <w:tab w:val="right" w:leader="dot" w:pos="10344"/>
        </w:tabs>
        <w:spacing w:line="360" w:lineRule="auto"/>
        <w:rPr>
          <w:rFonts w:asciiTheme="minorHAnsi" w:eastAsiaTheme="minorEastAsia" w:hAnsiTheme="minorHAnsi" w:cstheme="minorBidi"/>
          <w:noProof/>
          <w:kern w:val="2"/>
          <w:szCs w:val="24"/>
          <w:lang w:val="pl-PL" w:eastAsia="pl-PL"/>
          <w14:ligatures w14:val="standardContextua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227166522" w:history="1">
        <w:r w:rsidRPr="002344FD">
          <w:rPr>
            <w:rStyle w:val="Hipercze"/>
            <w:noProof/>
            <w:color w:val="233C43" w:themeColor="hyperlink" w:themeShade="80"/>
          </w:rPr>
          <w:t>Tabela 1. Obszary oceny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_Toc227166522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3198B81" w14:textId="7FF88242" w:rsidR="00CA5996" w:rsidRDefault="00CA5996" w:rsidP="00CA5996">
      <w:pPr>
        <w:pStyle w:val="Spisilustracji"/>
        <w:tabs>
          <w:tab w:val="right" w:leader="dot" w:pos="10344"/>
        </w:tabs>
        <w:spacing w:line="360" w:lineRule="auto"/>
        <w:rPr>
          <w:rFonts w:asciiTheme="minorHAnsi" w:eastAsiaTheme="minorEastAsia" w:hAnsiTheme="minorHAnsi" w:cstheme="minorBidi"/>
          <w:noProof/>
          <w:kern w:val="2"/>
          <w:szCs w:val="24"/>
          <w:lang w:val="pl-PL" w:eastAsia="pl-PL"/>
          <w14:ligatures w14:val="standardContextual"/>
        </w:rPr>
      </w:pPr>
      <w:hyperlink w:anchor="_Toc227166523" w:history="1">
        <w:r w:rsidRPr="002344FD">
          <w:rPr>
            <w:rStyle w:val="Hipercze"/>
            <w:noProof/>
          </w:rPr>
          <w:t>Tabela 2. Kompetencje zawodowe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_Toc227166523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6099C9E" w14:textId="4896B98F" w:rsidR="00CA5996" w:rsidRDefault="00CA5996" w:rsidP="00CA5996">
      <w:pPr>
        <w:pStyle w:val="Spisilustracji"/>
        <w:tabs>
          <w:tab w:val="right" w:leader="dot" w:pos="10344"/>
        </w:tabs>
        <w:spacing w:line="360" w:lineRule="auto"/>
        <w:rPr>
          <w:rFonts w:asciiTheme="minorHAnsi" w:eastAsiaTheme="minorEastAsia" w:hAnsiTheme="minorHAnsi" w:cstheme="minorBidi"/>
          <w:noProof/>
          <w:kern w:val="2"/>
          <w:szCs w:val="24"/>
          <w:lang w:val="pl-PL" w:eastAsia="pl-PL"/>
          <w14:ligatures w14:val="standardContextual"/>
        </w:rPr>
      </w:pPr>
      <w:hyperlink w:anchor="_Toc227166524" w:history="1">
        <w:r w:rsidRPr="002344FD">
          <w:rPr>
            <w:rStyle w:val="Hipercze"/>
            <w:noProof/>
          </w:rPr>
          <w:t>Tabela 3. Postawa i zaangażowanie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_Toc227166524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9CA418C" w14:textId="5868AAD0" w:rsidR="00CA5996" w:rsidRDefault="00CA5996" w:rsidP="00CA5996">
      <w:pPr>
        <w:pStyle w:val="Spisilustracji"/>
        <w:tabs>
          <w:tab w:val="right" w:leader="dot" w:pos="10344"/>
        </w:tabs>
        <w:spacing w:line="360" w:lineRule="auto"/>
        <w:rPr>
          <w:rFonts w:asciiTheme="minorHAnsi" w:eastAsiaTheme="minorEastAsia" w:hAnsiTheme="minorHAnsi" w:cstheme="minorBidi"/>
          <w:noProof/>
          <w:kern w:val="2"/>
          <w:szCs w:val="24"/>
          <w:lang w:val="pl-PL" w:eastAsia="pl-PL"/>
          <w14:ligatures w14:val="standardContextual"/>
        </w:rPr>
      </w:pPr>
      <w:hyperlink w:anchor="_Toc227166525" w:history="1">
        <w:r w:rsidRPr="002344FD">
          <w:rPr>
            <w:rStyle w:val="Hipercze"/>
            <w:noProof/>
          </w:rPr>
          <w:t>Tabela 4. Rozwój i potencjał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_Toc227166525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F418421" w14:textId="0B05AF62" w:rsidR="00CA5996" w:rsidRDefault="00CA5996" w:rsidP="00CA5996">
      <w:pPr>
        <w:pStyle w:val="Spisilustracji"/>
        <w:tabs>
          <w:tab w:val="right" w:leader="dot" w:pos="10344"/>
        </w:tabs>
        <w:spacing w:line="360" w:lineRule="auto"/>
        <w:rPr>
          <w:rFonts w:asciiTheme="minorHAnsi" w:eastAsiaTheme="minorEastAsia" w:hAnsiTheme="minorHAnsi" w:cstheme="minorBidi"/>
          <w:noProof/>
          <w:kern w:val="2"/>
          <w:szCs w:val="24"/>
          <w:lang w:val="pl-PL" w:eastAsia="pl-PL"/>
          <w14:ligatures w14:val="standardContextual"/>
        </w:rPr>
      </w:pPr>
      <w:hyperlink w:anchor="_Toc227166526" w:history="1">
        <w:r w:rsidRPr="002344FD">
          <w:rPr>
            <w:rStyle w:val="Hipercze"/>
            <w:noProof/>
          </w:rPr>
          <w:t>Tabela 5. Skala oceny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_Toc227166526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44AC2C6" w14:textId="6F76D1F5" w:rsidR="004764B5" w:rsidRPr="004764B5" w:rsidRDefault="00CA5996" w:rsidP="00CA5996">
      <w:pPr>
        <w:spacing w:line="360" w:lineRule="auto"/>
      </w:pPr>
      <w:r>
        <w:fldChar w:fldCharType="end"/>
      </w:r>
    </w:p>
    <w:sectPr w:rsidR="004764B5" w:rsidRPr="004764B5" w:rsidSect="00435893">
      <w:pgSz w:w="11906" w:h="16840"/>
      <w:pgMar w:top="1701" w:right="843" w:bottom="1418" w:left="709" w:header="142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4FD3B" w14:textId="77777777" w:rsidR="006A6417" w:rsidRDefault="006A6417">
      <w:pPr>
        <w:spacing w:after="0" w:line="240" w:lineRule="auto"/>
      </w:pPr>
      <w:r>
        <w:separator/>
      </w:r>
    </w:p>
  </w:endnote>
  <w:endnote w:type="continuationSeparator" w:id="0">
    <w:p w14:paraId="30686685" w14:textId="77777777" w:rsidR="006A6417" w:rsidRDefault="006A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53DD0DF-D366-45A2-B77A-ECA31F4866A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A323547-8380-4D80-BA30-6AA23A1255DF}"/>
    <w:embedBold r:id="rId3" w:fontKey="{D89F7CB4-32B4-4F0C-BEB4-8E06195ABE75}"/>
    <w:embedItalic r:id="rId4" w:fontKey="{CECB61A6-DCB9-4513-BCB1-87982B69302B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C84A122A-5476-4434-AC0B-A74F1437C2A8}"/>
    <w:embedBold r:id="rId6" w:fontKey="{9ECF8C8E-F0AE-4F72-86A5-C24910218322}"/>
    <w:embedItalic r:id="rId7" w:fontKey="{03CAF881-F1A0-4366-B481-26EE2020BA7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lay">
    <w:altName w:val="Calibri"/>
    <w:charset w:val="00"/>
    <w:family w:val="auto"/>
    <w:pitch w:val="default"/>
    <w:embedRegular r:id="rId8" w:fontKey="{40F13DAA-1E81-430B-A7EC-44C451FD4D57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E8309F9D-3EAA-4B37-9A9C-D4EE4FFFD29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520CF408-D87F-45B9-A6CE-9FA62BF786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E20E508-68F8-4281-A91C-BF4A12BFB805}"/>
    <w:embedBold r:id="rId12" w:fontKey="{0200F6E6-85EA-4998-A4B0-2AEA8637A4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E" w14:textId="170F647C" w:rsidR="00AF679A" w:rsidRDefault="005F08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646FCBA4" wp14:editId="07777777">
          <wp:extent cx="5421989" cy="450637"/>
          <wp:effectExtent l="0" t="0" r="0" b="0"/>
          <wp:docPr id="2060403631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35893">
      <w:fldChar w:fldCharType="begin"/>
    </w:r>
    <w:r w:rsidRPr="00435893">
      <w:instrText>PAGE</w:instrText>
    </w:r>
    <w:r w:rsidRPr="00435893">
      <w:fldChar w:fldCharType="separate"/>
    </w:r>
    <w:r w:rsidR="00480AFA" w:rsidRPr="00435893">
      <w:t>2</w:t>
    </w:r>
    <w:r w:rsidRPr="00435893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0" w14:textId="7C882A15" w:rsidR="00AF679A" w:rsidRPr="00435893" w:rsidRDefault="005F0829" w:rsidP="004358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6559CDFE" wp14:editId="07777777">
          <wp:extent cx="5421989" cy="450637"/>
          <wp:effectExtent l="0" t="0" r="0" b="0"/>
          <wp:docPr id="2060403633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35893">
      <w:fldChar w:fldCharType="begin"/>
    </w:r>
    <w:r w:rsidRPr="00435893">
      <w:instrText>PAGE</w:instrText>
    </w:r>
    <w:r w:rsidRPr="00435893">
      <w:fldChar w:fldCharType="separate"/>
    </w:r>
    <w:r w:rsidR="00480AFA" w:rsidRPr="00435893">
      <w:t>8</w:t>
    </w:r>
    <w:r w:rsidRPr="0043589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59235" w14:textId="77777777" w:rsidR="006A6417" w:rsidRDefault="006A6417">
      <w:pPr>
        <w:spacing w:after="0" w:line="240" w:lineRule="auto"/>
      </w:pPr>
      <w:r>
        <w:separator/>
      </w:r>
    </w:p>
  </w:footnote>
  <w:footnote w:type="continuationSeparator" w:id="0">
    <w:p w14:paraId="3886F7D3" w14:textId="77777777" w:rsidR="006A6417" w:rsidRDefault="006A6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9" w14:textId="77777777" w:rsidR="00AF679A" w:rsidRDefault="005F08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71C9053" wp14:editId="07777777">
          <wp:extent cx="5443255" cy="742206"/>
          <wp:effectExtent l="0" t="0" r="0" b="0"/>
          <wp:docPr id="2060403630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0A" w14:textId="77777777" w:rsidR="00AF679A" w:rsidRPr="00E21DAE" w:rsidRDefault="005F0829">
    <w:pPr>
      <w:spacing w:after="200"/>
      <w:jc w:val="center"/>
      <w:rPr>
        <w:color w:val="000000" w:themeColor="text1"/>
        <w:sz w:val="22"/>
      </w:rPr>
    </w:pPr>
    <w:r w:rsidRPr="00E21DAE">
      <w:rPr>
        <w:color w:val="000000" w:themeColor="text1"/>
        <w:sz w:val="22"/>
      </w:rPr>
      <w:t>„Standaryzacja modelu zatrudnienia wspomaganego w Polsce”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B" w14:textId="77777777" w:rsidR="00AF679A" w:rsidRDefault="005F08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3BF3F47" wp14:editId="07777777">
          <wp:extent cx="5443255" cy="742206"/>
          <wp:effectExtent l="0" t="0" r="0" b="0"/>
          <wp:docPr id="2060403629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0C" w14:textId="77777777" w:rsidR="00AF679A" w:rsidRDefault="005F0829">
    <w:pPr>
      <w:spacing w:after="200"/>
      <w:jc w:val="center"/>
      <w:rPr>
        <w:color w:val="7F7F7F"/>
        <w:sz w:val="20"/>
        <w:szCs w:val="20"/>
      </w:rPr>
    </w:pPr>
    <w:r>
      <w:rPr>
        <w:color w:val="7F7F7F"/>
        <w:sz w:val="20"/>
        <w:szCs w:val="20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37D44"/>
    <w:multiLevelType w:val="multilevel"/>
    <w:tmpl w:val="FFFFFFFF"/>
    <w:lvl w:ilvl="0">
      <w:start w:val="1"/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4527E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DE87D19"/>
    <w:multiLevelType w:val="multilevel"/>
    <w:tmpl w:val="0EBCC2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26331AD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D31565"/>
    <w:multiLevelType w:val="hybridMultilevel"/>
    <w:tmpl w:val="16947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83C2B"/>
    <w:multiLevelType w:val="hybridMultilevel"/>
    <w:tmpl w:val="FFFFFFFF"/>
    <w:lvl w:ilvl="0" w:tplc="5284EE0A">
      <w:start w:val="1"/>
      <w:numFmt w:val="upperLetter"/>
      <w:lvlText w:val="%1łącznik nr 1."/>
      <w:lvlJc w:val="left"/>
      <w:pPr>
        <w:ind w:left="720" w:hanging="360"/>
      </w:pPr>
    </w:lvl>
    <w:lvl w:ilvl="1" w:tplc="B658FD50">
      <w:start w:val="1"/>
      <w:numFmt w:val="lowerLetter"/>
      <w:lvlText w:val="%2."/>
      <w:lvlJc w:val="left"/>
      <w:pPr>
        <w:ind w:left="1440" w:hanging="360"/>
      </w:pPr>
    </w:lvl>
    <w:lvl w:ilvl="2" w:tplc="7E1C896C">
      <w:start w:val="1"/>
      <w:numFmt w:val="lowerRoman"/>
      <w:lvlText w:val="%3."/>
      <w:lvlJc w:val="right"/>
      <w:pPr>
        <w:ind w:left="2160" w:hanging="180"/>
      </w:pPr>
    </w:lvl>
    <w:lvl w:ilvl="3" w:tplc="6E343BF0">
      <w:start w:val="1"/>
      <w:numFmt w:val="decimal"/>
      <w:lvlText w:val="%4."/>
      <w:lvlJc w:val="left"/>
      <w:pPr>
        <w:ind w:left="2880" w:hanging="360"/>
      </w:pPr>
    </w:lvl>
    <w:lvl w:ilvl="4" w:tplc="E65AC9F6">
      <w:start w:val="1"/>
      <w:numFmt w:val="lowerLetter"/>
      <w:lvlText w:val="%5."/>
      <w:lvlJc w:val="left"/>
      <w:pPr>
        <w:ind w:left="3600" w:hanging="360"/>
      </w:pPr>
    </w:lvl>
    <w:lvl w:ilvl="5" w:tplc="88FA774C">
      <w:start w:val="1"/>
      <w:numFmt w:val="lowerRoman"/>
      <w:lvlText w:val="%6."/>
      <w:lvlJc w:val="right"/>
      <w:pPr>
        <w:ind w:left="4320" w:hanging="180"/>
      </w:pPr>
    </w:lvl>
    <w:lvl w:ilvl="6" w:tplc="3B9A145A">
      <w:start w:val="1"/>
      <w:numFmt w:val="decimal"/>
      <w:lvlText w:val="%7."/>
      <w:lvlJc w:val="left"/>
      <w:pPr>
        <w:ind w:left="5040" w:hanging="360"/>
      </w:pPr>
    </w:lvl>
    <w:lvl w:ilvl="7" w:tplc="3FB8DD0C">
      <w:start w:val="1"/>
      <w:numFmt w:val="lowerLetter"/>
      <w:lvlText w:val="%8."/>
      <w:lvlJc w:val="left"/>
      <w:pPr>
        <w:ind w:left="5760" w:hanging="360"/>
      </w:pPr>
    </w:lvl>
    <w:lvl w:ilvl="8" w:tplc="C3BEDE7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64A45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75574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8084D"/>
    <w:multiLevelType w:val="multilevel"/>
    <w:tmpl w:val="FFFFFFFF"/>
    <w:lvl w:ilvl="0">
      <w:numFmt w:val="bullet"/>
      <w:lvlText w:val="•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6B72A13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F2D98"/>
    <w:multiLevelType w:val="hybridMultilevel"/>
    <w:tmpl w:val="70444A94"/>
    <w:lvl w:ilvl="0" w:tplc="73F869E8">
      <w:start w:val="1"/>
      <w:numFmt w:val="decimal"/>
      <w:lvlText w:val="Załącznik nr %1."/>
      <w:lvlJc w:val="left"/>
      <w:pPr>
        <w:ind w:left="360" w:hanging="360"/>
      </w:pPr>
    </w:lvl>
    <w:lvl w:ilvl="1" w:tplc="76BEBCF6">
      <w:start w:val="1"/>
      <w:numFmt w:val="lowerLetter"/>
      <w:lvlText w:val="%2."/>
      <w:lvlJc w:val="left"/>
      <w:pPr>
        <w:ind w:left="1080" w:hanging="360"/>
      </w:pPr>
    </w:lvl>
    <w:lvl w:ilvl="2" w:tplc="C5A84448">
      <w:start w:val="1"/>
      <w:numFmt w:val="lowerRoman"/>
      <w:lvlText w:val="%3."/>
      <w:lvlJc w:val="right"/>
      <w:pPr>
        <w:ind w:left="1800" w:hanging="180"/>
      </w:pPr>
    </w:lvl>
    <w:lvl w:ilvl="3" w:tplc="D42C515A">
      <w:start w:val="1"/>
      <w:numFmt w:val="decimal"/>
      <w:lvlText w:val="%4."/>
      <w:lvlJc w:val="left"/>
      <w:pPr>
        <w:ind w:left="2520" w:hanging="360"/>
      </w:pPr>
    </w:lvl>
    <w:lvl w:ilvl="4" w:tplc="4118B0DE">
      <w:start w:val="1"/>
      <w:numFmt w:val="lowerLetter"/>
      <w:lvlText w:val="%5."/>
      <w:lvlJc w:val="left"/>
      <w:pPr>
        <w:ind w:left="3240" w:hanging="360"/>
      </w:pPr>
    </w:lvl>
    <w:lvl w:ilvl="5" w:tplc="B6E4BC8E">
      <w:start w:val="1"/>
      <w:numFmt w:val="lowerRoman"/>
      <w:lvlText w:val="%6."/>
      <w:lvlJc w:val="right"/>
      <w:pPr>
        <w:ind w:left="3960" w:hanging="180"/>
      </w:pPr>
    </w:lvl>
    <w:lvl w:ilvl="6" w:tplc="40B0EBE2">
      <w:start w:val="1"/>
      <w:numFmt w:val="decimal"/>
      <w:lvlText w:val="%7."/>
      <w:lvlJc w:val="left"/>
      <w:pPr>
        <w:ind w:left="4680" w:hanging="360"/>
      </w:pPr>
    </w:lvl>
    <w:lvl w:ilvl="7" w:tplc="DD824DD6">
      <w:start w:val="1"/>
      <w:numFmt w:val="lowerLetter"/>
      <w:lvlText w:val="%8."/>
      <w:lvlJc w:val="left"/>
      <w:pPr>
        <w:ind w:left="5400" w:hanging="360"/>
      </w:pPr>
    </w:lvl>
    <w:lvl w:ilvl="8" w:tplc="668213DC">
      <w:start w:val="1"/>
      <w:numFmt w:val="lowerRoman"/>
      <w:lvlText w:val="%9."/>
      <w:lvlJc w:val="right"/>
      <w:pPr>
        <w:ind w:left="6120" w:hanging="180"/>
      </w:pPr>
    </w:lvl>
  </w:abstractNum>
  <w:num w:numId="1" w16cid:durableId="390621644">
    <w:abstractNumId w:val="10"/>
  </w:num>
  <w:num w:numId="2" w16cid:durableId="126775552">
    <w:abstractNumId w:val="3"/>
  </w:num>
  <w:num w:numId="3" w16cid:durableId="167258267">
    <w:abstractNumId w:val="5"/>
  </w:num>
  <w:num w:numId="4" w16cid:durableId="1879968764">
    <w:abstractNumId w:val="1"/>
  </w:num>
  <w:num w:numId="5" w16cid:durableId="1366130229">
    <w:abstractNumId w:val="0"/>
  </w:num>
  <w:num w:numId="6" w16cid:durableId="1323319320">
    <w:abstractNumId w:val="7"/>
  </w:num>
  <w:num w:numId="7" w16cid:durableId="1381173424">
    <w:abstractNumId w:val="9"/>
  </w:num>
  <w:num w:numId="8" w16cid:durableId="1797721291">
    <w:abstractNumId w:val="8"/>
  </w:num>
  <w:num w:numId="9" w16cid:durableId="570166149">
    <w:abstractNumId w:val="4"/>
  </w:num>
  <w:num w:numId="10" w16cid:durableId="1535771384">
    <w:abstractNumId w:val="2"/>
  </w:num>
  <w:num w:numId="11" w16cid:durableId="16482442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79A"/>
    <w:rsid w:val="000D2048"/>
    <w:rsid w:val="001B569C"/>
    <w:rsid w:val="00343C3B"/>
    <w:rsid w:val="00435893"/>
    <w:rsid w:val="004764B5"/>
    <w:rsid w:val="00480AFA"/>
    <w:rsid w:val="005F0829"/>
    <w:rsid w:val="005F2A88"/>
    <w:rsid w:val="006A6417"/>
    <w:rsid w:val="00A255D1"/>
    <w:rsid w:val="00AB59BD"/>
    <w:rsid w:val="00AF679A"/>
    <w:rsid w:val="00CA5996"/>
    <w:rsid w:val="00E21DAE"/>
    <w:rsid w:val="00FB7D12"/>
    <w:rsid w:val="03F477B4"/>
    <w:rsid w:val="0594E281"/>
    <w:rsid w:val="05BFA17A"/>
    <w:rsid w:val="0671D21C"/>
    <w:rsid w:val="0BD6F116"/>
    <w:rsid w:val="0D935510"/>
    <w:rsid w:val="0E39A970"/>
    <w:rsid w:val="11BF688D"/>
    <w:rsid w:val="13C36AE2"/>
    <w:rsid w:val="14A35788"/>
    <w:rsid w:val="17A89EFA"/>
    <w:rsid w:val="18C15CE5"/>
    <w:rsid w:val="196D6510"/>
    <w:rsid w:val="1A4F2A99"/>
    <w:rsid w:val="1AF5A538"/>
    <w:rsid w:val="1C368500"/>
    <w:rsid w:val="1DBBE533"/>
    <w:rsid w:val="225FD007"/>
    <w:rsid w:val="2370D529"/>
    <w:rsid w:val="2396E133"/>
    <w:rsid w:val="258AB0DB"/>
    <w:rsid w:val="2923A6C0"/>
    <w:rsid w:val="294554F5"/>
    <w:rsid w:val="2E4F29D8"/>
    <w:rsid w:val="35DD1BC5"/>
    <w:rsid w:val="38F52010"/>
    <w:rsid w:val="3AB398CD"/>
    <w:rsid w:val="3D0800C2"/>
    <w:rsid w:val="42B8E69F"/>
    <w:rsid w:val="4343995F"/>
    <w:rsid w:val="43570EAD"/>
    <w:rsid w:val="469B530A"/>
    <w:rsid w:val="471F14AE"/>
    <w:rsid w:val="49EE6985"/>
    <w:rsid w:val="4F9CBB3E"/>
    <w:rsid w:val="516243B3"/>
    <w:rsid w:val="51D52BB7"/>
    <w:rsid w:val="5290D162"/>
    <w:rsid w:val="531AC1D3"/>
    <w:rsid w:val="57A49739"/>
    <w:rsid w:val="57B9AF15"/>
    <w:rsid w:val="588081FC"/>
    <w:rsid w:val="58A1A474"/>
    <w:rsid w:val="59A19F48"/>
    <w:rsid w:val="62B4FB34"/>
    <w:rsid w:val="640481F2"/>
    <w:rsid w:val="66502117"/>
    <w:rsid w:val="6845D456"/>
    <w:rsid w:val="6BD43825"/>
    <w:rsid w:val="714C235A"/>
    <w:rsid w:val="75AD9DA3"/>
    <w:rsid w:val="7888E602"/>
    <w:rsid w:val="79FB9B9D"/>
    <w:rsid w:val="7A337C2B"/>
    <w:rsid w:val="7D860ED5"/>
    <w:rsid w:val="7DEB372B"/>
    <w:rsid w:val="7F9C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0164F"/>
  <w15:docId w15:val="{4622B575-69C3-4CB0-844A-4B511E03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1DAE"/>
    <w:rPr>
      <w:rFonts w:ascii="Lato" w:hAnsi="Lato"/>
      <w:sz w:val="24"/>
    </w:rPr>
  </w:style>
  <w:style w:type="paragraph" w:styleId="Nagwek1">
    <w:name w:val="heading 1"/>
    <w:basedOn w:val="Normalny"/>
    <w:next w:val="Normalny"/>
    <w:uiPriority w:val="9"/>
    <w:qFormat/>
    <w:rsid w:val="00E21DAE"/>
    <w:pPr>
      <w:spacing w:after="480"/>
      <w:outlineLvl w:val="0"/>
    </w:pPr>
    <w:rPr>
      <w:b/>
      <w:bCs/>
      <w:color w:val="000000" w:themeColor="text1"/>
      <w:sz w:val="36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480AFA"/>
    <w:pPr>
      <w:spacing w:after="240"/>
      <w:ind w:left="567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rsid w:val="00480AFA"/>
    <w:pPr>
      <w:spacing w:before="120" w:after="240"/>
      <w:ind w:left="851" w:hanging="567"/>
      <w:outlineLvl w:val="2"/>
    </w:pPr>
    <w:rPr>
      <w:b/>
      <w:bCs/>
      <w:color w:val="000000" w:themeColor="text1"/>
      <w:sz w:val="28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D5713F"/>
    <w:pPr>
      <w:spacing w:before="120" w:after="120" w:line="276" w:lineRule="auto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17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NormalTable0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7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paragraph" w:styleId="Legenda">
    <w:name w:val="caption"/>
    <w:basedOn w:val="Normalny"/>
    <w:next w:val="Normalny"/>
    <w:autoRedefine/>
    <w:uiPriority w:val="35"/>
    <w:unhideWhenUsed/>
    <w:qFormat/>
    <w:rsid w:val="00CA5996"/>
    <w:pPr>
      <w:spacing w:after="200" w:line="240" w:lineRule="auto"/>
    </w:pPr>
    <w:rPr>
      <w:iCs/>
      <w:color w:val="275317" w:themeColor="accent6" w:themeShade="80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4764B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VuzkBr88fGNCzROGlUvgGOMuUA==">CgMxLjAyDmgubDY4MDY0N24wcTlrMg5oLnNkdzJsaWJzNzN4dzIOaC41aHRhYXduZmZoOHkyDmguN3ZjMjU0d3o0amptOAByITFGeUQ4Sm02bXRqdng5bENQTkpic0c4SGtpVTlxSFkwQw==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DB15F7-2B43-4487-86DF-F065A719DE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14EB74-2641-4D6F-8E51-6044C53C25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96222-E3F9-4F49-8DEE-12158209D0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9FCE5E4C-77BD-4DEA-BB0C-ECB24E5B3B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2440</Words>
  <Characters>16397</Characters>
  <Application>Microsoft Office Word</Application>
  <DocSecurity>0</DocSecurity>
  <Lines>482</Lines>
  <Paragraphs>289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 oceny kadry AZW</dc:title>
  <dc:creator>Monika Miedzik</dc:creator>
  <cp:lastModifiedBy>Centrum Wsparcia</cp:lastModifiedBy>
  <cp:revision>12</cp:revision>
  <dcterms:created xsi:type="dcterms:W3CDTF">2026-02-25T14:18:00Z</dcterms:created>
  <dcterms:modified xsi:type="dcterms:W3CDTF">2026-04-15T15:29:00Z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