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3F449C" w14:textId="2FBC69E0" w:rsidR="04D2DB06" w:rsidRPr="00C13BED" w:rsidRDefault="04D2DB06" w:rsidP="00C13BED">
      <w:pPr>
        <w:spacing w:after="240" w:line="360" w:lineRule="auto"/>
        <w:jc w:val="right"/>
        <w:rPr>
          <w:rFonts w:eastAsiaTheme="minorEastAsia" w:cs="Arial"/>
          <w:szCs w:val="24"/>
        </w:rPr>
      </w:pPr>
      <w:r w:rsidRPr="00C13BED">
        <w:rPr>
          <w:rFonts w:eastAsiaTheme="minorEastAsia" w:cs="Arial"/>
          <w:color w:val="000000" w:themeColor="text1"/>
          <w:szCs w:val="24"/>
        </w:rPr>
        <w:t>Załącznik nr II.</w:t>
      </w:r>
      <w:r w:rsidR="05E7F62A" w:rsidRPr="00C13BED">
        <w:rPr>
          <w:rFonts w:eastAsiaTheme="minorEastAsia" w:cs="Arial"/>
          <w:color w:val="000000" w:themeColor="text1"/>
          <w:szCs w:val="24"/>
        </w:rPr>
        <w:t>16</w:t>
      </w:r>
      <w:r w:rsidRPr="00C13BED">
        <w:rPr>
          <w:rFonts w:cs="Arial"/>
        </w:rPr>
        <w:br/>
      </w:r>
      <w:r w:rsidRPr="00C13BED">
        <w:rPr>
          <w:rFonts w:eastAsiaTheme="minorEastAsia" w:cs="Arial"/>
          <w:color w:val="000000" w:themeColor="text1"/>
          <w:szCs w:val="24"/>
        </w:rPr>
        <w:t>do Standardu organizacyjnego AZW (Moduł II. AZW)</w:t>
      </w:r>
    </w:p>
    <w:p w14:paraId="3913C481" w14:textId="77777777" w:rsidR="00384D4F" w:rsidRPr="00C13BED" w:rsidRDefault="00384D4F" w:rsidP="00C13BED">
      <w:pPr>
        <w:pStyle w:val="Nagwek1"/>
        <w:spacing w:line="360" w:lineRule="auto"/>
      </w:pPr>
      <w:r w:rsidRPr="00C13BED">
        <w:t xml:space="preserve">Lista sprawdzająca dostępność </w:t>
      </w:r>
      <w:sdt>
        <w:sdtPr>
          <w:tag w:val="goog_rdk_2"/>
          <w:id w:val="2041810196"/>
        </w:sdtPr>
        <w:sdtContent/>
      </w:sdt>
      <w:sdt>
        <w:sdtPr>
          <w:tag w:val="goog_rdk_3"/>
          <w:id w:val="260868979"/>
        </w:sdtPr>
        <w:sdtContent/>
      </w:sdt>
      <w:sdt>
        <w:sdtPr>
          <w:tag w:val="goog_rdk_4"/>
          <w:id w:val="1620827575"/>
        </w:sdtPr>
        <w:sdtContent/>
      </w:sdt>
      <w:r w:rsidRPr="00C13BED">
        <w:t>architektoniczną</w:t>
      </w:r>
    </w:p>
    <w:p w14:paraId="388591C0" w14:textId="77777777" w:rsidR="00C13BED" w:rsidRPr="00C13BED" w:rsidRDefault="00C13BED" w:rsidP="00C13BED">
      <w:pPr>
        <w:spacing w:line="360" w:lineRule="auto"/>
        <w:rPr>
          <w:rFonts w:eastAsiaTheme="minorEastAsia" w:cs="Arial"/>
          <w:szCs w:val="24"/>
          <w:lang w:val="pl-PL"/>
        </w:rPr>
      </w:pPr>
      <w:bookmarkStart w:id="0" w:name="OLE_LINK1"/>
      <w:r w:rsidRPr="00C13BED">
        <w:rPr>
          <w:rFonts w:eastAsiaTheme="minorEastAsia" w:cs="Arial"/>
          <w:b/>
          <w:bCs/>
          <w:szCs w:val="24"/>
          <w:lang w:val="pl-PL"/>
        </w:rPr>
        <w:t xml:space="preserve">Instrukcja: </w:t>
      </w:r>
      <w:r w:rsidRPr="00C13BED">
        <w:rPr>
          <w:rFonts w:eastAsiaTheme="minorEastAsia" w:cs="Arial"/>
          <w:szCs w:val="24"/>
          <w:lang w:val="pl-PL"/>
        </w:rPr>
        <w:t>Zaznacz właściwe, według poniższej legendy:</w:t>
      </w:r>
    </w:p>
    <w:p w14:paraId="604A2C0B" w14:textId="31F8A406" w:rsidR="00384D4F" w:rsidRPr="00C13BED" w:rsidRDefault="00384D4F" w:rsidP="00C13BED">
      <w:pPr>
        <w:spacing w:line="360" w:lineRule="auto"/>
        <w:rPr>
          <w:rFonts w:eastAsiaTheme="minorEastAsia" w:cs="Arial"/>
          <w:szCs w:val="24"/>
        </w:rPr>
      </w:pPr>
      <w:r w:rsidRPr="00C13BED">
        <w:rPr>
          <w:rFonts w:eastAsiaTheme="minorEastAsia" w:cs="Arial"/>
          <w:b/>
          <w:bCs/>
          <w:szCs w:val="24"/>
        </w:rPr>
        <w:t>Stopień spełnienia wymagań</w:t>
      </w:r>
    </w:p>
    <w:p w14:paraId="18889A1C" w14:textId="77777777" w:rsidR="00384D4F" w:rsidRPr="00C13BED" w:rsidRDefault="00384D4F" w:rsidP="00C13BED">
      <w:pPr>
        <w:spacing w:line="360" w:lineRule="auto"/>
        <w:rPr>
          <w:rFonts w:eastAsiaTheme="minorEastAsia" w:cs="Arial"/>
          <w:szCs w:val="24"/>
        </w:rPr>
      </w:pPr>
      <w:r w:rsidRPr="00C13BED">
        <w:rPr>
          <w:rFonts w:eastAsiaTheme="minorEastAsia" w:cs="Arial"/>
          <w:szCs w:val="24"/>
        </w:rPr>
        <w:t>[T]</w:t>
      </w:r>
      <w:r w:rsidRPr="00C13BED">
        <w:rPr>
          <w:rFonts w:cs="Arial"/>
        </w:rPr>
        <w:tab/>
      </w:r>
      <w:r w:rsidRPr="00C13BED">
        <w:rPr>
          <w:rFonts w:eastAsiaTheme="minorEastAsia" w:cs="Arial"/>
          <w:szCs w:val="24"/>
        </w:rPr>
        <w:t>Tak (spełnione)</w:t>
      </w:r>
    </w:p>
    <w:p w14:paraId="7633E1B9" w14:textId="42E7D7D4" w:rsidR="00384D4F" w:rsidRPr="00C13BED" w:rsidRDefault="00384D4F" w:rsidP="00C13BED">
      <w:pPr>
        <w:spacing w:after="240" w:line="360" w:lineRule="auto"/>
        <w:rPr>
          <w:rFonts w:eastAsiaTheme="minorEastAsia" w:cs="Arial"/>
          <w:szCs w:val="24"/>
        </w:rPr>
      </w:pPr>
      <w:r w:rsidRPr="00C13BED">
        <w:rPr>
          <w:rFonts w:eastAsiaTheme="minorEastAsia" w:cs="Arial"/>
          <w:szCs w:val="24"/>
        </w:rPr>
        <w:t>[N]</w:t>
      </w:r>
      <w:r w:rsidRPr="00C13BED">
        <w:rPr>
          <w:rFonts w:cs="Arial"/>
        </w:rPr>
        <w:tab/>
      </w:r>
      <w:r w:rsidRPr="00C13BED">
        <w:rPr>
          <w:rFonts w:eastAsiaTheme="minorEastAsia" w:cs="Arial"/>
          <w:szCs w:val="24"/>
        </w:rPr>
        <w:t>Nie</w:t>
      </w:r>
      <w:r w:rsidRPr="00C13BED">
        <w:rPr>
          <w:rFonts w:eastAsiaTheme="minorEastAsia" w:cs="Arial"/>
          <w:b/>
          <w:bCs/>
          <w:szCs w:val="24"/>
        </w:rPr>
        <w:t xml:space="preserve"> </w:t>
      </w:r>
      <w:r w:rsidRPr="00C13BED">
        <w:rPr>
          <w:rFonts w:eastAsiaTheme="minorEastAsia" w:cs="Arial"/>
          <w:szCs w:val="24"/>
        </w:rPr>
        <w:t>(niespełnione)</w:t>
      </w:r>
    </w:p>
    <w:bookmarkEnd w:id="0"/>
    <w:p w14:paraId="3F6768B3" w14:textId="7D8BE298" w:rsidR="00384D4F" w:rsidRPr="00C13BED" w:rsidRDefault="00384D4F" w:rsidP="00C13BED">
      <w:pPr>
        <w:pStyle w:val="Nagwek2"/>
      </w:pPr>
      <w:r w:rsidRPr="00C13BED">
        <w:t>1.Lokalizacja AZW</w:t>
      </w:r>
    </w:p>
    <w:p w14:paraId="7D28637B" w14:textId="7FC72377" w:rsidR="00384D4F" w:rsidRDefault="00384D4F" w:rsidP="00C13BED">
      <w:pPr>
        <w:numPr>
          <w:ilvl w:val="0"/>
          <w:numId w:val="3"/>
        </w:numPr>
        <w:spacing w:after="120" w:line="360" w:lineRule="auto"/>
        <w:contextualSpacing/>
        <w:rPr>
          <w:rFonts w:eastAsiaTheme="minorEastAsia" w:cs="Arial"/>
          <w:szCs w:val="24"/>
        </w:rPr>
      </w:pPr>
      <w:r w:rsidRPr="00C13BED">
        <w:rPr>
          <w:rFonts w:eastAsiaTheme="minorEastAsia" w:cs="Arial"/>
          <w:szCs w:val="24"/>
        </w:rPr>
        <w:t>W odległości do 300 metrów od miejsca świadczonej usługi znajduje się miejsce parkingowe dla osób z niepełnosprawnością.</w:t>
      </w:r>
    </w:p>
    <w:p w14:paraId="7EF2268D" w14:textId="3ABDFCA9" w:rsidR="00C13BED" w:rsidRDefault="00000000" w:rsidP="00C13BED">
      <w:pPr>
        <w:spacing w:after="120" w:line="360" w:lineRule="auto"/>
        <w:ind w:left="720"/>
        <w:contextualSpacing/>
        <w:rPr>
          <w:rFonts w:eastAsiaTheme="minorEastAsia" w:cs="Arial"/>
          <w:szCs w:val="24"/>
        </w:rPr>
      </w:pPr>
      <w:sdt>
        <w:sdtPr>
          <w:rPr>
            <w:rFonts w:eastAsiaTheme="minorEastAsia" w:cs="Arial"/>
            <w:szCs w:val="24"/>
          </w:rPr>
          <w:id w:val="34938452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13BED">
            <w:rPr>
              <w:rFonts w:ascii="MS Gothic" w:eastAsia="MS Gothic" w:hAnsi="MS Gothic" w:cs="Arial" w:hint="eastAsia"/>
              <w:szCs w:val="24"/>
            </w:rPr>
            <w:t>☐</w:t>
          </w:r>
        </w:sdtContent>
      </w:sdt>
      <w:r w:rsidR="00C13BED">
        <w:rPr>
          <w:rFonts w:eastAsiaTheme="minorEastAsia" w:cs="Arial"/>
          <w:szCs w:val="24"/>
        </w:rPr>
        <w:t>T</w:t>
      </w:r>
    </w:p>
    <w:p w14:paraId="30B2C800" w14:textId="53E4DC8D" w:rsidR="00C13BED" w:rsidRPr="00C13BED" w:rsidRDefault="00000000" w:rsidP="00C13BED">
      <w:pPr>
        <w:spacing w:after="120" w:line="360" w:lineRule="auto"/>
        <w:ind w:left="720"/>
        <w:contextualSpacing/>
        <w:rPr>
          <w:rFonts w:eastAsiaTheme="minorEastAsia" w:cs="Arial"/>
          <w:szCs w:val="24"/>
        </w:rPr>
      </w:pPr>
      <w:sdt>
        <w:sdtPr>
          <w:rPr>
            <w:rFonts w:eastAsiaTheme="minorEastAsia" w:cs="Arial"/>
            <w:szCs w:val="24"/>
          </w:rPr>
          <w:id w:val="-154891098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13BED">
            <w:rPr>
              <w:rFonts w:ascii="MS Gothic" w:eastAsia="MS Gothic" w:hAnsi="MS Gothic" w:cs="Arial" w:hint="eastAsia"/>
              <w:szCs w:val="24"/>
            </w:rPr>
            <w:t>☐</w:t>
          </w:r>
        </w:sdtContent>
      </w:sdt>
      <w:r w:rsidR="00C13BED">
        <w:rPr>
          <w:rFonts w:eastAsiaTheme="minorEastAsia" w:cs="Arial"/>
          <w:szCs w:val="24"/>
        </w:rPr>
        <w:t>N</w:t>
      </w:r>
    </w:p>
    <w:p w14:paraId="117D5854" w14:textId="72DD7363" w:rsidR="00384D4F" w:rsidRPr="00C13BED" w:rsidRDefault="00384D4F" w:rsidP="00C13BED">
      <w:pPr>
        <w:pStyle w:val="Nagwek2"/>
      </w:pPr>
      <w:r w:rsidRPr="00C13BED">
        <w:t>2. Dostępność wewnątrz budynku</w:t>
      </w:r>
    </w:p>
    <w:p w14:paraId="10B23EB3" w14:textId="74E464AA" w:rsidR="00384D4F" w:rsidRDefault="00384D4F" w:rsidP="00C13BED">
      <w:pPr>
        <w:numPr>
          <w:ilvl w:val="0"/>
          <w:numId w:val="4"/>
        </w:numPr>
        <w:spacing w:after="120" w:line="360" w:lineRule="auto"/>
        <w:ind w:left="714" w:hanging="357"/>
        <w:rPr>
          <w:rFonts w:eastAsiaTheme="minorEastAsia" w:cs="Arial"/>
          <w:szCs w:val="24"/>
        </w:rPr>
      </w:pPr>
      <w:r w:rsidRPr="00C13BED">
        <w:rPr>
          <w:rFonts w:eastAsiaTheme="minorEastAsia" w:cs="Arial"/>
          <w:szCs w:val="24"/>
        </w:rPr>
        <w:t>Wejście do budynku AZW jest wolne od barier dla osób, które korzystają ze sprzętu rehabilitacyjnego (np. wózka, kul, białej laski).</w:t>
      </w:r>
    </w:p>
    <w:p w14:paraId="257D30F2" w14:textId="77777777" w:rsidR="00C13BED" w:rsidRPr="00C13BED" w:rsidRDefault="00C13BED" w:rsidP="00C13BED">
      <w:pPr>
        <w:spacing w:after="120" w:line="360" w:lineRule="auto"/>
        <w:ind w:left="720"/>
        <w:contextualSpacing/>
        <w:rPr>
          <w:rFonts w:eastAsiaTheme="minorEastAsia" w:cs="Arial"/>
          <w:szCs w:val="24"/>
        </w:rPr>
      </w:pPr>
      <w:r w:rsidRPr="00C13BED">
        <w:rPr>
          <w:rFonts w:ascii="Segoe UI Symbol" w:eastAsiaTheme="minorEastAsia" w:hAnsi="Segoe UI Symbol" w:cs="Segoe UI Symbol"/>
          <w:szCs w:val="24"/>
        </w:rPr>
        <w:t>☐</w:t>
      </w:r>
      <w:r w:rsidRPr="00C13BED">
        <w:rPr>
          <w:rFonts w:eastAsiaTheme="minorEastAsia" w:cs="Arial"/>
          <w:szCs w:val="24"/>
        </w:rPr>
        <w:t>T</w:t>
      </w:r>
    </w:p>
    <w:p w14:paraId="2FF8F033" w14:textId="4ECB763A" w:rsidR="00C13BED" w:rsidRPr="00C13BED" w:rsidRDefault="00C13BED" w:rsidP="00C13BED">
      <w:pPr>
        <w:spacing w:after="120" w:line="360" w:lineRule="auto"/>
        <w:ind w:left="720"/>
        <w:rPr>
          <w:rFonts w:eastAsiaTheme="minorEastAsia" w:cs="Arial"/>
          <w:szCs w:val="24"/>
        </w:rPr>
      </w:pPr>
      <w:r w:rsidRPr="00C13BED">
        <w:rPr>
          <w:rFonts w:ascii="Segoe UI Symbol" w:eastAsiaTheme="minorEastAsia" w:hAnsi="Segoe UI Symbol" w:cs="Segoe UI Symbol"/>
          <w:szCs w:val="24"/>
        </w:rPr>
        <w:t>☐</w:t>
      </w:r>
      <w:r w:rsidRPr="00C13BED">
        <w:rPr>
          <w:rFonts w:eastAsiaTheme="minorEastAsia" w:cs="Arial"/>
          <w:szCs w:val="24"/>
        </w:rPr>
        <w:t>N</w:t>
      </w:r>
    </w:p>
    <w:p w14:paraId="211C04A3" w14:textId="3AF8B32C" w:rsidR="00384D4F" w:rsidRDefault="00384D4F" w:rsidP="00C13BED">
      <w:pPr>
        <w:numPr>
          <w:ilvl w:val="0"/>
          <w:numId w:val="4"/>
        </w:numPr>
        <w:spacing w:after="120" w:line="360" w:lineRule="auto"/>
        <w:contextualSpacing/>
        <w:rPr>
          <w:rFonts w:eastAsiaTheme="minorEastAsia" w:cs="Arial"/>
          <w:szCs w:val="24"/>
        </w:rPr>
      </w:pPr>
      <w:r w:rsidRPr="00C13BED">
        <w:rPr>
          <w:rFonts w:eastAsiaTheme="minorEastAsia" w:cs="Arial"/>
          <w:szCs w:val="24"/>
        </w:rPr>
        <w:t>Drzwi wejściowe oraz drzwi wewnątrz budynku mają minimum 90cm szerokości i</w:t>
      </w:r>
      <w:r w:rsidR="00C13BED">
        <w:rPr>
          <w:rFonts w:eastAsiaTheme="minorEastAsia" w:cs="Arial"/>
          <w:szCs w:val="24"/>
        </w:rPr>
        <w:t> </w:t>
      </w:r>
      <w:r w:rsidRPr="00C13BED">
        <w:rPr>
          <w:rFonts w:eastAsiaTheme="minorEastAsia" w:cs="Arial"/>
          <w:szCs w:val="24"/>
        </w:rPr>
        <w:t>można je łatwo otworzyć.</w:t>
      </w:r>
    </w:p>
    <w:p w14:paraId="5AB80E8D" w14:textId="77777777" w:rsidR="00C13BED" w:rsidRPr="00C13BED" w:rsidRDefault="00C13BED" w:rsidP="00C13BED">
      <w:pPr>
        <w:spacing w:after="120" w:line="360" w:lineRule="auto"/>
        <w:ind w:left="720"/>
        <w:contextualSpacing/>
        <w:rPr>
          <w:rFonts w:eastAsiaTheme="minorEastAsia" w:cs="Arial"/>
          <w:szCs w:val="24"/>
        </w:rPr>
      </w:pPr>
      <w:r w:rsidRPr="00C13BED">
        <w:rPr>
          <w:rFonts w:ascii="Segoe UI Symbol" w:eastAsiaTheme="minorEastAsia" w:hAnsi="Segoe UI Symbol" w:cs="Segoe UI Symbol"/>
          <w:szCs w:val="24"/>
        </w:rPr>
        <w:t>☐</w:t>
      </w:r>
      <w:r w:rsidRPr="00C13BED">
        <w:rPr>
          <w:rFonts w:eastAsiaTheme="minorEastAsia" w:cs="Arial"/>
          <w:szCs w:val="24"/>
        </w:rPr>
        <w:t>T</w:t>
      </w:r>
    </w:p>
    <w:p w14:paraId="3DFE4FCC" w14:textId="62131C3A" w:rsidR="00C13BED" w:rsidRPr="00C13BED" w:rsidRDefault="00C13BED" w:rsidP="00C13BED">
      <w:pPr>
        <w:spacing w:after="120" w:line="360" w:lineRule="auto"/>
        <w:ind w:left="720"/>
        <w:rPr>
          <w:rFonts w:eastAsiaTheme="minorEastAsia" w:cs="Arial"/>
          <w:szCs w:val="24"/>
        </w:rPr>
      </w:pPr>
      <w:r w:rsidRPr="00C13BED">
        <w:rPr>
          <w:rFonts w:ascii="Segoe UI Symbol" w:eastAsiaTheme="minorEastAsia" w:hAnsi="Segoe UI Symbol" w:cs="Segoe UI Symbol"/>
          <w:szCs w:val="24"/>
        </w:rPr>
        <w:t>☐</w:t>
      </w:r>
      <w:r w:rsidRPr="00C13BED">
        <w:rPr>
          <w:rFonts w:eastAsiaTheme="minorEastAsia" w:cs="Arial"/>
          <w:szCs w:val="24"/>
        </w:rPr>
        <w:t>N</w:t>
      </w:r>
    </w:p>
    <w:p w14:paraId="4AEAB01D" w14:textId="77777777" w:rsidR="00384D4F" w:rsidRDefault="00384D4F" w:rsidP="00C13BED">
      <w:pPr>
        <w:numPr>
          <w:ilvl w:val="0"/>
          <w:numId w:val="4"/>
        </w:numPr>
        <w:spacing w:after="120" w:line="360" w:lineRule="auto"/>
        <w:contextualSpacing/>
        <w:rPr>
          <w:rFonts w:eastAsiaTheme="minorEastAsia" w:cs="Arial"/>
          <w:szCs w:val="24"/>
        </w:rPr>
      </w:pPr>
      <w:r w:rsidRPr="00C13BED">
        <w:rPr>
          <w:rFonts w:eastAsiaTheme="minorEastAsia" w:cs="Arial"/>
          <w:szCs w:val="24"/>
        </w:rPr>
        <w:t>Ościeżnice drzwi oraz ich powierzchnie są skontrastowane z kolorem ścian.</w:t>
      </w:r>
    </w:p>
    <w:p w14:paraId="1247991E" w14:textId="77777777" w:rsidR="00C13BED" w:rsidRPr="00C13BED" w:rsidRDefault="00C13BED" w:rsidP="00C13BED">
      <w:pPr>
        <w:spacing w:after="120" w:line="360" w:lineRule="auto"/>
        <w:ind w:left="720"/>
        <w:contextualSpacing/>
        <w:rPr>
          <w:rFonts w:eastAsiaTheme="minorEastAsia" w:cs="Arial"/>
          <w:szCs w:val="24"/>
        </w:rPr>
      </w:pPr>
      <w:r w:rsidRPr="00C13BED">
        <w:rPr>
          <w:rFonts w:ascii="Segoe UI Symbol" w:eastAsiaTheme="minorEastAsia" w:hAnsi="Segoe UI Symbol" w:cs="Segoe UI Symbol"/>
          <w:szCs w:val="24"/>
        </w:rPr>
        <w:t>☐</w:t>
      </w:r>
      <w:r w:rsidRPr="00C13BED">
        <w:rPr>
          <w:rFonts w:eastAsiaTheme="minorEastAsia" w:cs="Arial"/>
          <w:szCs w:val="24"/>
        </w:rPr>
        <w:t>T</w:t>
      </w:r>
    </w:p>
    <w:p w14:paraId="2609305C" w14:textId="5FC9BCE2" w:rsidR="00C13BED" w:rsidRPr="00C13BED" w:rsidRDefault="00C13BED" w:rsidP="00C13BED">
      <w:pPr>
        <w:spacing w:after="120" w:line="360" w:lineRule="auto"/>
        <w:ind w:left="720"/>
        <w:contextualSpacing/>
        <w:rPr>
          <w:rFonts w:eastAsiaTheme="minorEastAsia" w:cs="Arial"/>
          <w:szCs w:val="24"/>
        </w:rPr>
      </w:pPr>
      <w:r w:rsidRPr="00C13BED">
        <w:rPr>
          <w:rFonts w:ascii="Segoe UI Symbol" w:eastAsiaTheme="minorEastAsia" w:hAnsi="Segoe UI Symbol" w:cs="Segoe UI Symbol"/>
          <w:szCs w:val="24"/>
        </w:rPr>
        <w:t>☐</w:t>
      </w:r>
      <w:r w:rsidRPr="00C13BED">
        <w:rPr>
          <w:rFonts w:eastAsiaTheme="minorEastAsia" w:cs="Arial"/>
          <w:szCs w:val="24"/>
        </w:rPr>
        <w:t>N</w:t>
      </w:r>
    </w:p>
    <w:p w14:paraId="28732CA4" w14:textId="4BF216DD" w:rsidR="00384D4F" w:rsidRDefault="00384D4F" w:rsidP="00C13BED">
      <w:pPr>
        <w:numPr>
          <w:ilvl w:val="0"/>
          <w:numId w:val="4"/>
        </w:numPr>
        <w:spacing w:after="120" w:line="360" w:lineRule="auto"/>
        <w:contextualSpacing/>
        <w:rPr>
          <w:rFonts w:eastAsiaTheme="minorEastAsia" w:cs="Arial"/>
          <w:szCs w:val="24"/>
        </w:rPr>
      </w:pPr>
      <w:r w:rsidRPr="00C13BED">
        <w:rPr>
          <w:rFonts w:eastAsiaTheme="minorEastAsia" w:cs="Arial"/>
          <w:szCs w:val="24"/>
        </w:rPr>
        <w:lastRenderedPageBreak/>
        <w:t>Każda osoba z niepełnosprawnością może dotrzeć bez barier do wszystkich pomieszczeń AZW: korytarze prowadzące do pomieszczeń (z wyjątkiem pomieszczeń technicznych) nie mają różnicy poziomów a jeśli występują progi, ich</w:t>
      </w:r>
      <w:r w:rsidR="00C13BED">
        <w:rPr>
          <w:rFonts w:eastAsiaTheme="minorEastAsia" w:cs="Arial"/>
          <w:szCs w:val="24"/>
        </w:rPr>
        <w:t> </w:t>
      </w:r>
      <w:r w:rsidRPr="00C13BED">
        <w:rPr>
          <w:rFonts w:eastAsiaTheme="minorEastAsia" w:cs="Arial"/>
          <w:szCs w:val="24"/>
        </w:rPr>
        <w:t>wysokość jest poniżej 2 cm.</w:t>
      </w:r>
    </w:p>
    <w:p w14:paraId="039D4415" w14:textId="77777777" w:rsidR="00C13BED" w:rsidRPr="00C13BED" w:rsidRDefault="00C13BED" w:rsidP="00C13BED">
      <w:pPr>
        <w:spacing w:after="120" w:line="360" w:lineRule="auto"/>
        <w:ind w:left="720"/>
        <w:contextualSpacing/>
        <w:rPr>
          <w:rFonts w:eastAsiaTheme="minorEastAsia" w:cs="Arial"/>
          <w:szCs w:val="24"/>
        </w:rPr>
      </w:pPr>
      <w:r w:rsidRPr="00C13BED">
        <w:rPr>
          <w:rFonts w:ascii="Segoe UI Symbol" w:eastAsiaTheme="minorEastAsia" w:hAnsi="Segoe UI Symbol" w:cs="Segoe UI Symbol"/>
          <w:szCs w:val="24"/>
        </w:rPr>
        <w:t>☐</w:t>
      </w:r>
      <w:r w:rsidRPr="00C13BED">
        <w:rPr>
          <w:rFonts w:eastAsiaTheme="minorEastAsia" w:cs="Arial"/>
          <w:szCs w:val="24"/>
        </w:rPr>
        <w:t>T</w:t>
      </w:r>
    </w:p>
    <w:p w14:paraId="7D7756C9" w14:textId="43498B4E" w:rsidR="00C13BED" w:rsidRPr="00C13BED" w:rsidRDefault="00C13BED" w:rsidP="00C13BED">
      <w:pPr>
        <w:spacing w:after="120" w:line="360" w:lineRule="auto"/>
        <w:ind w:left="720"/>
        <w:rPr>
          <w:rFonts w:eastAsiaTheme="minorEastAsia" w:cs="Arial"/>
          <w:szCs w:val="24"/>
        </w:rPr>
      </w:pPr>
      <w:r w:rsidRPr="00C13BED">
        <w:rPr>
          <w:rFonts w:ascii="Segoe UI Symbol" w:eastAsiaTheme="minorEastAsia" w:hAnsi="Segoe UI Symbol" w:cs="Segoe UI Symbol"/>
          <w:szCs w:val="24"/>
        </w:rPr>
        <w:t>☐</w:t>
      </w:r>
      <w:r w:rsidRPr="00C13BED">
        <w:rPr>
          <w:rFonts w:eastAsiaTheme="minorEastAsia" w:cs="Arial"/>
          <w:szCs w:val="24"/>
        </w:rPr>
        <w:t>N</w:t>
      </w:r>
    </w:p>
    <w:p w14:paraId="65845CD4" w14:textId="40F50DD5" w:rsidR="00384D4F" w:rsidRDefault="00384D4F" w:rsidP="00C13BED">
      <w:pPr>
        <w:numPr>
          <w:ilvl w:val="0"/>
          <w:numId w:val="4"/>
        </w:numPr>
        <w:spacing w:after="120" w:line="360" w:lineRule="auto"/>
        <w:contextualSpacing/>
        <w:rPr>
          <w:rFonts w:eastAsiaTheme="minorEastAsia" w:cs="Arial"/>
          <w:szCs w:val="24"/>
        </w:rPr>
      </w:pPr>
      <w:r w:rsidRPr="00C13BED">
        <w:rPr>
          <w:rFonts w:eastAsiaTheme="minorEastAsia" w:cs="Arial"/>
          <w:szCs w:val="24"/>
        </w:rPr>
        <w:t>W AZW jest minimum jedna toaleta dostępna, która posiada przestrzeń manewrową 150cmx150 cm oraz minimum 90cm przestrzeni obok muszli ustępowej potrzebnej na transfer.</w:t>
      </w:r>
    </w:p>
    <w:p w14:paraId="18E50075" w14:textId="77777777" w:rsidR="00C13BED" w:rsidRPr="00C13BED" w:rsidRDefault="00C13BED" w:rsidP="00C13BED">
      <w:pPr>
        <w:spacing w:after="120" w:line="360" w:lineRule="auto"/>
        <w:ind w:left="720"/>
        <w:contextualSpacing/>
        <w:rPr>
          <w:rFonts w:eastAsiaTheme="minorEastAsia" w:cs="Arial"/>
          <w:szCs w:val="24"/>
        </w:rPr>
      </w:pPr>
      <w:r w:rsidRPr="00C13BED">
        <w:rPr>
          <w:rFonts w:ascii="Segoe UI Symbol" w:eastAsiaTheme="minorEastAsia" w:hAnsi="Segoe UI Symbol" w:cs="Segoe UI Symbol"/>
          <w:szCs w:val="24"/>
        </w:rPr>
        <w:t>☐</w:t>
      </w:r>
      <w:r w:rsidRPr="00C13BED">
        <w:rPr>
          <w:rFonts w:eastAsiaTheme="minorEastAsia" w:cs="Arial"/>
          <w:szCs w:val="24"/>
        </w:rPr>
        <w:t>T</w:t>
      </w:r>
    </w:p>
    <w:p w14:paraId="3B4F7645" w14:textId="244F462C" w:rsidR="00C13BED" w:rsidRPr="00C13BED" w:rsidRDefault="00C13BED" w:rsidP="00C13BED">
      <w:pPr>
        <w:spacing w:after="120" w:line="360" w:lineRule="auto"/>
        <w:ind w:left="720"/>
        <w:rPr>
          <w:rFonts w:eastAsiaTheme="minorEastAsia" w:cs="Arial"/>
          <w:szCs w:val="24"/>
        </w:rPr>
      </w:pPr>
      <w:r w:rsidRPr="00C13BED">
        <w:rPr>
          <w:rFonts w:ascii="Segoe UI Symbol" w:eastAsiaTheme="minorEastAsia" w:hAnsi="Segoe UI Symbol" w:cs="Segoe UI Symbol"/>
          <w:szCs w:val="24"/>
        </w:rPr>
        <w:t>☐</w:t>
      </w:r>
      <w:r w:rsidRPr="00C13BED">
        <w:rPr>
          <w:rFonts w:eastAsiaTheme="minorEastAsia" w:cs="Arial"/>
          <w:szCs w:val="24"/>
        </w:rPr>
        <w:t>N</w:t>
      </w:r>
    </w:p>
    <w:p w14:paraId="21EA1546" w14:textId="58D1D257" w:rsidR="00384D4F" w:rsidRDefault="00384D4F" w:rsidP="00C13BED">
      <w:pPr>
        <w:numPr>
          <w:ilvl w:val="0"/>
          <w:numId w:val="4"/>
        </w:numPr>
        <w:spacing w:after="120" w:line="360" w:lineRule="auto"/>
        <w:contextualSpacing/>
        <w:rPr>
          <w:rFonts w:eastAsiaTheme="minorEastAsia" w:cs="Arial"/>
          <w:szCs w:val="24"/>
        </w:rPr>
      </w:pPr>
      <w:r w:rsidRPr="00C13BED">
        <w:rPr>
          <w:rFonts w:eastAsiaTheme="minorEastAsia" w:cs="Arial"/>
          <w:szCs w:val="24"/>
        </w:rPr>
        <w:t>W budynku jest udostępniona informacja na temat rozkładu pomieszczeń w formie wizualnej i dotykowej (plan tyflograficzny stojący, wiszący bądź przenośny) lub</w:t>
      </w:r>
      <w:r w:rsidR="00C13BED">
        <w:rPr>
          <w:rFonts w:eastAsiaTheme="minorEastAsia" w:cs="Arial"/>
          <w:szCs w:val="24"/>
        </w:rPr>
        <w:t> </w:t>
      </w:r>
      <w:r w:rsidRPr="00C13BED">
        <w:rPr>
          <w:rFonts w:eastAsiaTheme="minorEastAsia" w:cs="Arial"/>
          <w:szCs w:val="24"/>
        </w:rPr>
        <w:t>głosowej (infokiosk, nagranie audio, beacony -znaczniki przestrzeni, ewentualnie pracownik obsługi).</w:t>
      </w:r>
    </w:p>
    <w:p w14:paraId="12E147D0" w14:textId="77777777" w:rsidR="00C13BED" w:rsidRPr="00C13BED" w:rsidRDefault="00C13BED" w:rsidP="00C13BED">
      <w:pPr>
        <w:spacing w:after="120" w:line="360" w:lineRule="auto"/>
        <w:ind w:left="720"/>
        <w:contextualSpacing/>
        <w:rPr>
          <w:rFonts w:eastAsiaTheme="minorEastAsia" w:cs="Arial"/>
          <w:szCs w:val="24"/>
        </w:rPr>
      </w:pPr>
      <w:r w:rsidRPr="00C13BED">
        <w:rPr>
          <w:rFonts w:ascii="Segoe UI Symbol" w:eastAsiaTheme="minorEastAsia" w:hAnsi="Segoe UI Symbol" w:cs="Segoe UI Symbol"/>
          <w:szCs w:val="24"/>
        </w:rPr>
        <w:t>☐</w:t>
      </w:r>
      <w:r w:rsidRPr="00C13BED">
        <w:rPr>
          <w:rFonts w:eastAsiaTheme="minorEastAsia" w:cs="Arial"/>
          <w:szCs w:val="24"/>
        </w:rPr>
        <w:t>T</w:t>
      </w:r>
    </w:p>
    <w:p w14:paraId="58C66B89" w14:textId="678CB1C1" w:rsidR="00C13BED" w:rsidRPr="00C13BED" w:rsidRDefault="00C13BED" w:rsidP="00C13BED">
      <w:pPr>
        <w:spacing w:after="120" w:line="360" w:lineRule="auto"/>
        <w:ind w:left="720"/>
        <w:rPr>
          <w:rFonts w:eastAsiaTheme="minorEastAsia" w:cs="Arial"/>
          <w:szCs w:val="24"/>
        </w:rPr>
      </w:pPr>
      <w:r w:rsidRPr="00C13BED">
        <w:rPr>
          <w:rFonts w:ascii="Segoe UI Symbol" w:eastAsiaTheme="minorEastAsia" w:hAnsi="Segoe UI Symbol" w:cs="Segoe UI Symbol"/>
          <w:szCs w:val="24"/>
        </w:rPr>
        <w:t>☐</w:t>
      </w:r>
      <w:r w:rsidRPr="00C13BED">
        <w:rPr>
          <w:rFonts w:eastAsiaTheme="minorEastAsia" w:cs="Arial"/>
          <w:szCs w:val="24"/>
        </w:rPr>
        <w:t>N</w:t>
      </w:r>
    </w:p>
    <w:p w14:paraId="47616F86" w14:textId="08E1E9BB" w:rsidR="1F46A1DE" w:rsidRDefault="00384D4F" w:rsidP="00C13BED">
      <w:pPr>
        <w:numPr>
          <w:ilvl w:val="0"/>
          <w:numId w:val="4"/>
        </w:numPr>
        <w:spacing w:after="120" w:line="360" w:lineRule="auto"/>
        <w:contextualSpacing/>
        <w:rPr>
          <w:rFonts w:eastAsiaTheme="minorEastAsia" w:cs="Arial"/>
          <w:szCs w:val="24"/>
        </w:rPr>
      </w:pPr>
      <w:r w:rsidRPr="00C13BED">
        <w:rPr>
          <w:rFonts w:eastAsiaTheme="minorEastAsia" w:cs="Arial"/>
          <w:szCs w:val="24"/>
        </w:rPr>
        <w:t>Do budynku może wejść pies asystujący.</w:t>
      </w:r>
    </w:p>
    <w:p w14:paraId="4E10329C" w14:textId="77777777" w:rsidR="00C13BED" w:rsidRPr="00C13BED" w:rsidRDefault="00C13BED" w:rsidP="00C13BED">
      <w:pPr>
        <w:spacing w:after="120" w:line="360" w:lineRule="auto"/>
        <w:ind w:left="720"/>
        <w:contextualSpacing/>
        <w:rPr>
          <w:rFonts w:eastAsiaTheme="minorEastAsia" w:cs="Arial"/>
          <w:szCs w:val="24"/>
        </w:rPr>
      </w:pPr>
      <w:r w:rsidRPr="00C13BED">
        <w:rPr>
          <w:rFonts w:ascii="Segoe UI Symbol" w:eastAsiaTheme="minorEastAsia" w:hAnsi="Segoe UI Symbol" w:cs="Segoe UI Symbol"/>
          <w:szCs w:val="24"/>
        </w:rPr>
        <w:t>☐</w:t>
      </w:r>
      <w:r w:rsidRPr="00C13BED">
        <w:rPr>
          <w:rFonts w:eastAsiaTheme="minorEastAsia" w:cs="Arial"/>
          <w:szCs w:val="24"/>
        </w:rPr>
        <w:t>T</w:t>
      </w:r>
    </w:p>
    <w:p w14:paraId="1F103BCF" w14:textId="5E72585F" w:rsidR="00C13BED" w:rsidRPr="00C13BED" w:rsidRDefault="00C13BED" w:rsidP="00C13BED">
      <w:pPr>
        <w:spacing w:after="120" w:line="360" w:lineRule="auto"/>
        <w:ind w:left="720"/>
        <w:rPr>
          <w:rFonts w:eastAsiaTheme="minorEastAsia" w:cs="Arial"/>
          <w:szCs w:val="24"/>
        </w:rPr>
      </w:pPr>
      <w:r w:rsidRPr="00C13BED">
        <w:rPr>
          <w:rFonts w:ascii="Segoe UI Symbol" w:eastAsiaTheme="minorEastAsia" w:hAnsi="Segoe UI Symbol" w:cs="Segoe UI Symbol"/>
          <w:szCs w:val="24"/>
        </w:rPr>
        <w:t>☐</w:t>
      </w:r>
      <w:r w:rsidRPr="00C13BED">
        <w:rPr>
          <w:rFonts w:eastAsiaTheme="minorEastAsia" w:cs="Arial"/>
          <w:szCs w:val="24"/>
        </w:rPr>
        <w:t>N</w:t>
      </w:r>
    </w:p>
    <w:p w14:paraId="013B40A1" w14:textId="77777777" w:rsidR="00384D4F" w:rsidRPr="00C13BED" w:rsidRDefault="00384D4F" w:rsidP="00C13BED">
      <w:pPr>
        <w:pStyle w:val="Nagwek2"/>
      </w:pPr>
      <w:r w:rsidRPr="00C13BED">
        <w:t>3. Bezpieczeństwo i ewakuacja w AZW</w:t>
      </w:r>
    </w:p>
    <w:p w14:paraId="592B1610" w14:textId="2A40C8DF" w:rsidR="00384D4F" w:rsidRDefault="00384D4F" w:rsidP="00C13BED">
      <w:pPr>
        <w:pStyle w:val="Akapitzlist"/>
        <w:numPr>
          <w:ilvl w:val="0"/>
          <w:numId w:val="5"/>
        </w:numPr>
        <w:spacing w:after="0" w:line="360" w:lineRule="auto"/>
        <w:contextualSpacing w:val="0"/>
        <w:rPr>
          <w:rFonts w:ascii="Arial" w:eastAsiaTheme="minorEastAsia" w:hAnsi="Arial" w:cs="Arial"/>
          <w:sz w:val="24"/>
          <w:szCs w:val="24"/>
        </w:rPr>
      </w:pPr>
      <w:r w:rsidRPr="00C13BED">
        <w:rPr>
          <w:rFonts w:ascii="Arial" w:eastAsiaTheme="minorEastAsia" w:hAnsi="Arial" w:cs="Arial"/>
          <w:sz w:val="24"/>
          <w:szCs w:val="24"/>
        </w:rPr>
        <w:t>AZW posiada procedurę ewakuacji, która uwzględnia potrzeby osób z różnymi niepełnosprawnościami (ruchowymi, sensorycznymi, poznawczymi).</w:t>
      </w:r>
    </w:p>
    <w:p w14:paraId="6E06F5EE" w14:textId="77777777" w:rsidR="00C13BED" w:rsidRPr="00C13BED" w:rsidRDefault="00C13BED" w:rsidP="00C13BED">
      <w:pPr>
        <w:pStyle w:val="Akapitzlist"/>
        <w:spacing w:after="0" w:line="360" w:lineRule="auto"/>
        <w:rPr>
          <w:rFonts w:ascii="Arial" w:eastAsiaTheme="minorEastAsia" w:hAnsi="Arial" w:cs="Arial"/>
          <w:sz w:val="24"/>
          <w:szCs w:val="24"/>
        </w:rPr>
      </w:pPr>
      <w:r w:rsidRPr="00C13BED">
        <w:rPr>
          <w:rFonts w:ascii="Segoe UI Symbol" w:eastAsiaTheme="minorEastAsia" w:hAnsi="Segoe UI Symbol" w:cs="Segoe UI Symbol"/>
          <w:sz w:val="24"/>
          <w:szCs w:val="24"/>
        </w:rPr>
        <w:t>☐</w:t>
      </w:r>
      <w:r w:rsidRPr="00C13BED">
        <w:rPr>
          <w:rFonts w:ascii="Arial" w:eastAsiaTheme="minorEastAsia" w:hAnsi="Arial" w:cs="Arial"/>
          <w:sz w:val="24"/>
          <w:szCs w:val="24"/>
        </w:rPr>
        <w:t>T</w:t>
      </w:r>
    </w:p>
    <w:p w14:paraId="0F998FE4" w14:textId="1C1593D7" w:rsidR="00C13BED" w:rsidRPr="00C13BED" w:rsidRDefault="00C13BED" w:rsidP="00C13BED">
      <w:pPr>
        <w:pStyle w:val="Akapitzlist"/>
        <w:spacing w:after="120" w:line="360" w:lineRule="auto"/>
        <w:contextualSpacing w:val="0"/>
        <w:rPr>
          <w:rFonts w:ascii="Arial" w:eastAsiaTheme="minorEastAsia" w:hAnsi="Arial" w:cs="Arial"/>
          <w:sz w:val="24"/>
          <w:szCs w:val="24"/>
        </w:rPr>
      </w:pPr>
      <w:r w:rsidRPr="00C13BED">
        <w:rPr>
          <w:rFonts w:ascii="Segoe UI Symbol" w:eastAsiaTheme="minorEastAsia" w:hAnsi="Segoe UI Symbol" w:cs="Segoe UI Symbol"/>
          <w:sz w:val="24"/>
          <w:szCs w:val="24"/>
        </w:rPr>
        <w:t>☐</w:t>
      </w:r>
      <w:r w:rsidRPr="00C13BED">
        <w:rPr>
          <w:rFonts w:ascii="Arial" w:eastAsiaTheme="minorEastAsia" w:hAnsi="Arial" w:cs="Arial"/>
          <w:sz w:val="24"/>
          <w:szCs w:val="24"/>
        </w:rPr>
        <w:t>N</w:t>
      </w:r>
    </w:p>
    <w:p w14:paraId="64FA38C8" w14:textId="47D7BA5A" w:rsidR="00384D4F" w:rsidRDefault="00384D4F" w:rsidP="00C13BED">
      <w:pPr>
        <w:pStyle w:val="Akapitzlist"/>
        <w:numPr>
          <w:ilvl w:val="0"/>
          <w:numId w:val="5"/>
        </w:numPr>
        <w:spacing w:after="0" w:line="360" w:lineRule="auto"/>
        <w:contextualSpacing w:val="0"/>
        <w:rPr>
          <w:rFonts w:ascii="Arial" w:eastAsiaTheme="minorEastAsia" w:hAnsi="Arial" w:cs="Arial"/>
          <w:sz w:val="24"/>
          <w:szCs w:val="24"/>
        </w:rPr>
      </w:pPr>
      <w:r w:rsidRPr="00C13BED">
        <w:rPr>
          <w:rFonts w:ascii="Arial" w:eastAsiaTheme="minorEastAsia" w:hAnsi="Arial" w:cs="Arial"/>
          <w:sz w:val="24"/>
          <w:szCs w:val="24"/>
        </w:rPr>
        <w:t>Procedury ewakuacyjne i przeciwpożarowe są dostępne również dla osób z niepełnosprawnościami.</w:t>
      </w:r>
    </w:p>
    <w:p w14:paraId="37FB47D2" w14:textId="77777777" w:rsidR="00C13BED" w:rsidRPr="00C13BED" w:rsidRDefault="00C13BED" w:rsidP="00C13BED">
      <w:pPr>
        <w:pStyle w:val="Akapitzlist"/>
        <w:spacing w:after="0" w:line="360" w:lineRule="auto"/>
        <w:rPr>
          <w:rFonts w:ascii="Arial" w:eastAsiaTheme="minorEastAsia" w:hAnsi="Arial" w:cs="Arial"/>
          <w:sz w:val="24"/>
          <w:szCs w:val="24"/>
        </w:rPr>
      </w:pPr>
      <w:r w:rsidRPr="00C13BED">
        <w:rPr>
          <w:rFonts w:ascii="Segoe UI Symbol" w:eastAsiaTheme="minorEastAsia" w:hAnsi="Segoe UI Symbol" w:cs="Segoe UI Symbol"/>
          <w:sz w:val="24"/>
          <w:szCs w:val="24"/>
        </w:rPr>
        <w:t>☐</w:t>
      </w:r>
      <w:r w:rsidRPr="00C13BED">
        <w:rPr>
          <w:rFonts w:ascii="Arial" w:eastAsiaTheme="minorEastAsia" w:hAnsi="Arial" w:cs="Arial"/>
          <w:sz w:val="24"/>
          <w:szCs w:val="24"/>
        </w:rPr>
        <w:t>T</w:t>
      </w:r>
    </w:p>
    <w:p w14:paraId="4FCD7A12" w14:textId="3DFF11F7" w:rsidR="00C13BED" w:rsidRPr="00C13BED" w:rsidRDefault="00C13BED" w:rsidP="00C13BED">
      <w:pPr>
        <w:pStyle w:val="Akapitzlist"/>
        <w:spacing w:after="120" w:line="360" w:lineRule="auto"/>
        <w:contextualSpacing w:val="0"/>
        <w:rPr>
          <w:rFonts w:ascii="Arial" w:eastAsiaTheme="minorEastAsia" w:hAnsi="Arial" w:cs="Arial"/>
          <w:sz w:val="24"/>
          <w:szCs w:val="24"/>
        </w:rPr>
      </w:pPr>
      <w:r w:rsidRPr="00C13BED">
        <w:rPr>
          <w:rFonts w:ascii="Segoe UI Symbol" w:eastAsiaTheme="minorEastAsia" w:hAnsi="Segoe UI Symbol" w:cs="Segoe UI Symbol"/>
          <w:sz w:val="24"/>
          <w:szCs w:val="24"/>
        </w:rPr>
        <w:lastRenderedPageBreak/>
        <w:t>☐</w:t>
      </w:r>
      <w:r w:rsidRPr="00C13BED">
        <w:rPr>
          <w:rFonts w:ascii="Arial" w:eastAsiaTheme="minorEastAsia" w:hAnsi="Arial" w:cs="Arial"/>
          <w:sz w:val="24"/>
          <w:szCs w:val="24"/>
        </w:rPr>
        <w:t>N</w:t>
      </w:r>
    </w:p>
    <w:p w14:paraId="6E613535" w14:textId="2A505CEB" w:rsidR="00384D4F" w:rsidRDefault="00384D4F" w:rsidP="00C13BED">
      <w:pPr>
        <w:pStyle w:val="Akapitzlist"/>
        <w:numPr>
          <w:ilvl w:val="0"/>
          <w:numId w:val="5"/>
        </w:numPr>
        <w:spacing w:after="0" w:line="360" w:lineRule="auto"/>
        <w:contextualSpacing w:val="0"/>
        <w:rPr>
          <w:rFonts w:ascii="Arial" w:eastAsiaTheme="minorEastAsia" w:hAnsi="Arial" w:cs="Arial"/>
          <w:sz w:val="24"/>
          <w:szCs w:val="24"/>
        </w:rPr>
      </w:pPr>
      <w:r w:rsidRPr="00C13BED">
        <w:rPr>
          <w:rFonts w:ascii="Arial" w:eastAsiaTheme="minorEastAsia" w:hAnsi="Arial" w:cs="Arial"/>
          <w:sz w:val="24"/>
          <w:szCs w:val="24"/>
        </w:rPr>
        <w:t>AZW posiada realne środki ewakuacji (w postaci sprzętu i przeszkolonej kadry) lub</w:t>
      </w:r>
      <w:r w:rsidR="00C13BED">
        <w:rPr>
          <w:rFonts w:ascii="Arial" w:eastAsiaTheme="minorEastAsia" w:hAnsi="Arial" w:cs="Arial"/>
          <w:sz w:val="24"/>
          <w:szCs w:val="24"/>
        </w:rPr>
        <w:t> </w:t>
      </w:r>
      <w:r w:rsidRPr="00C13BED">
        <w:rPr>
          <w:rFonts w:ascii="Arial" w:eastAsiaTheme="minorEastAsia" w:hAnsi="Arial" w:cs="Arial"/>
          <w:sz w:val="24"/>
          <w:szCs w:val="24"/>
        </w:rPr>
        <w:t>inne środki bezpiecznego uratowania osób z niepełnosprawnościami.</w:t>
      </w:r>
    </w:p>
    <w:p w14:paraId="2F37E61C" w14:textId="77777777" w:rsidR="00C13BED" w:rsidRPr="00C13BED" w:rsidRDefault="00C13BED" w:rsidP="00C13BED">
      <w:pPr>
        <w:pStyle w:val="Akapitzlist"/>
        <w:spacing w:after="0" w:line="360" w:lineRule="auto"/>
        <w:rPr>
          <w:rFonts w:ascii="Arial" w:eastAsiaTheme="minorEastAsia" w:hAnsi="Arial" w:cs="Arial"/>
          <w:sz w:val="24"/>
          <w:szCs w:val="24"/>
        </w:rPr>
      </w:pPr>
      <w:r w:rsidRPr="00C13BED">
        <w:rPr>
          <w:rFonts w:ascii="Segoe UI Symbol" w:eastAsiaTheme="minorEastAsia" w:hAnsi="Segoe UI Symbol" w:cs="Segoe UI Symbol"/>
          <w:sz w:val="24"/>
          <w:szCs w:val="24"/>
        </w:rPr>
        <w:t>☐</w:t>
      </w:r>
      <w:r w:rsidRPr="00C13BED">
        <w:rPr>
          <w:rFonts w:ascii="Arial" w:eastAsiaTheme="minorEastAsia" w:hAnsi="Arial" w:cs="Arial"/>
          <w:sz w:val="24"/>
          <w:szCs w:val="24"/>
        </w:rPr>
        <w:t>T</w:t>
      </w:r>
    </w:p>
    <w:p w14:paraId="0000002C" w14:textId="6A564FA6" w:rsidR="001E4AA6" w:rsidRPr="00C13BED" w:rsidRDefault="00C13BED" w:rsidP="00C13BED">
      <w:pPr>
        <w:pStyle w:val="Akapitzlist"/>
        <w:spacing w:after="0" w:line="360" w:lineRule="auto"/>
        <w:contextualSpacing w:val="0"/>
        <w:rPr>
          <w:rFonts w:ascii="Arial" w:eastAsiaTheme="minorEastAsia" w:hAnsi="Arial" w:cs="Arial"/>
          <w:sz w:val="24"/>
          <w:szCs w:val="24"/>
        </w:rPr>
      </w:pPr>
      <w:r w:rsidRPr="00C13BED">
        <w:rPr>
          <w:rFonts w:ascii="Segoe UI Symbol" w:eastAsiaTheme="minorEastAsia" w:hAnsi="Segoe UI Symbol" w:cs="Segoe UI Symbol"/>
          <w:sz w:val="24"/>
          <w:szCs w:val="24"/>
        </w:rPr>
        <w:t>☐</w:t>
      </w:r>
      <w:r w:rsidRPr="00C13BED">
        <w:rPr>
          <w:rFonts w:ascii="Arial" w:eastAsiaTheme="minorEastAsia" w:hAnsi="Arial" w:cs="Arial"/>
          <w:sz w:val="24"/>
          <w:szCs w:val="24"/>
        </w:rPr>
        <w:t>N</w:t>
      </w:r>
    </w:p>
    <w:sectPr w:rsidR="001E4AA6" w:rsidRPr="00C13BED" w:rsidSect="00C13BED">
      <w:headerReference w:type="default" r:id="rId11"/>
      <w:footerReference w:type="default" r:id="rId12"/>
      <w:pgSz w:w="11900" w:h="16838"/>
      <w:pgMar w:top="1701" w:right="1134" w:bottom="1418" w:left="1134" w:header="142" w:footer="22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5CD225" w14:textId="77777777" w:rsidR="005F1C66" w:rsidRDefault="005F1C66">
      <w:pPr>
        <w:spacing w:after="0" w:line="240" w:lineRule="auto"/>
      </w:pPr>
      <w:r>
        <w:separator/>
      </w:r>
    </w:p>
  </w:endnote>
  <w:endnote w:type="continuationSeparator" w:id="0">
    <w:p w14:paraId="53D7C409" w14:textId="77777777" w:rsidR="005F1C66" w:rsidRDefault="005F1C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  <w:embedRegular r:id="rId1" w:fontKey="{FF7CF794-1D88-4C13-8F12-14E37D8856C0}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2" w:fontKey="{3997F81F-749B-41B3-B83B-8422A45AB0C0}"/>
    <w:embedBold r:id="rId3" w:fontKey="{FA67FDCB-47D5-4426-872E-D503C1D56223}"/>
    <w:embedItalic r:id="rId4" w:fontKey="{4199546C-8960-4933-BDCB-431AC5FD720C}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  <w:embedRegular r:id="rId5" w:fontKey="{7C564DDF-EA87-404D-A031-46474FC2AE3B}"/>
    <w:embedBold r:id="rId6" w:fontKey="{5936C0FB-57FD-4D8E-B2AB-1FCA9576014F}"/>
    <w:embedItalic r:id="rId7" w:fontKey="{4A5ADF40-0C80-44D5-A9D9-987720B73937}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Play">
    <w:charset w:val="00"/>
    <w:family w:val="auto"/>
    <w:pitch w:val="default"/>
    <w:embedRegular r:id="rId8" w:fontKey="{74D77E8B-C34B-4BC8-8290-45444594DE93}"/>
  </w:font>
  <w:font w:name="Open Sans">
    <w:panose1 w:val="00000000000000000000"/>
    <w:charset w:val="EE"/>
    <w:family w:val="auto"/>
    <w:pitch w:val="variable"/>
    <w:sig w:usb0="E00002FF" w:usb1="4000201B" w:usb2="00000028" w:usb3="00000000" w:csb0="0000019F" w:csb1="00000000"/>
    <w:embedRegular r:id="rId9" w:fontKey="{72B2268D-FEFA-4152-9C85-2092A44183D1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10" w:fontKey="{D5C97126-8CAB-4575-B999-188DBE08CE97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1" w:fontKey="{6E17C726-0DBC-4AD8-BDA4-A18AF20F56E8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12" w:fontKey="{344FDCCD-48E2-4203-B992-858DB6EA53C2}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13" w:subsetted="1" w:fontKey="{C3C5CE70-5427-47A6-9AE4-D0F21CA986F7}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14" w:fontKey="{810939C8-E915-45A2-9DDE-550BA3BFA73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30" w14:textId="2FAA6BCF" w:rsidR="001E4AA6" w:rsidRPr="00C13BED" w:rsidRDefault="00381F4C" w:rsidP="00C13BED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120" w:line="240" w:lineRule="auto"/>
      <w:jc w:val="center"/>
      <w:rPr>
        <w:color w:val="000000"/>
        <w:sz w:val="20"/>
        <w:szCs w:val="20"/>
      </w:rPr>
    </w:pPr>
    <w:r>
      <w:rPr>
        <w:noProof/>
        <w:color w:val="000000"/>
        <w:lang w:val="pl-PL" w:eastAsia="pl-PL"/>
      </w:rPr>
      <w:drawing>
        <wp:inline distT="0" distB="0" distL="0" distR="0" wp14:anchorId="1D02E951" wp14:editId="07777777">
          <wp:extent cx="5421989" cy="450637"/>
          <wp:effectExtent l="0" t="0" r="0" b="0"/>
          <wp:docPr id="2060403629" name="image1.png" descr="Logo trzech instytucji: Ministerstwo Rodziny, Pracy i Polityki Społecznej, Polska Federacja Zatrudnienia Wspomaganego, Polska Unia Zatrudnienia Wspomaganego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Logo trzech instytucji: Ministerstwo Rodziny, Pracy i Polityki Społecznej, Polska Federacja Zatrudnienia Wspomaganego, Polska Unia Zatrudnienia Wspomaganego.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421989" cy="45063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 w:rsidRPr="00C13BED">
      <w:fldChar w:fldCharType="begin"/>
    </w:r>
    <w:r w:rsidRPr="00C13BED">
      <w:instrText>PAGE</w:instrText>
    </w:r>
    <w:r w:rsidRPr="00C13BED">
      <w:fldChar w:fldCharType="separate"/>
    </w:r>
    <w:r w:rsidR="00762347" w:rsidRPr="00C13BED">
      <w:t>1</w:t>
    </w:r>
    <w:r w:rsidRPr="00C13BED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17DA56" w14:textId="77777777" w:rsidR="005F1C66" w:rsidRDefault="005F1C66">
      <w:pPr>
        <w:spacing w:after="0" w:line="240" w:lineRule="auto"/>
      </w:pPr>
      <w:r>
        <w:separator/>
      </w:r>
    </w:p>
  </w:footnote>
  <w:footnote w:type="continuationSeparator" w:id="0">
    <w:p w14:paraId="45FF4588" w14:textId="77777777" w:rsidR="005F1C66" w:rsidRDefault="005F1C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2D" w14:textId="77777777" w:rsidR="001E4AA6" w:rsidRDefault="00381F4C" w:rsidP="00C13BED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jc w:val="center"/>
      <w:rPr>
        <w:color w:val="000000"/>
      </w:rPr>
    </w:pPr>
    <w:r>
      <w:rPr>
        <w:noProof/>
        <w:color w:val="000000"/>
        <w:lang w:val="pl-PL" w:eastAsia="pl-PL"/>
      </w:rPr>
      <w:drawing>
        <wp:inline distT="0" distB="0" distL="0" distR="0" wp14:anchorId="77BA40E6" wp14:editId="07777777">
          <wp:extent cx="5443255" cy="742206"/>
          <wp:effectExtent l="0" t="0" r="0" b="0"/>
          <wp:docPr id="2060403630" name="image2.png" descr="Logo Funduszy Europejskich dla Rozwoju Społecznego, logo Rzeczpospolita Polska, logo dofinansowane przez Unię Europejską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Logo Funduszy Europejskich dla Rozwoju Społecznego, logo Rzeczpospolita Polska, logo dofinansowane przez Unię Europejską.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443255" cy="74220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0000002E" w14:textId="77777777" w:rsidR="001E4AA6" w:rsidRPr="00C13BED" w:rsidRDefault="00381F4C">
    <w:pPr>
      <w:spacing w:after="200"/>
      <w:jc w:val="center"/>
      <w:rPr>
        <w:rFonts w:cs="Arial"/>
        <w:color w:val="000000" w:themeColor="text1"/>
        <w:sz w:val="22"/>
      </w:rPr>
    </w:pPr>
    <w:r w:rsidRPr="00C13BED">
      <w:rPr>
        <w:rFonts w:cs="Arial"/>
        <w:color w:val="000000" w:themeColor="text1"/>
        <w:sz w:val="22"/>
      </w:rPr>
      <w:t>„Standaryzacja modelu zatrudnienia wspomaganego w Polsce”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B45AB"/>
    <w:multiLevelType w:val="hybridMultilevel"/>
    <w:tmpl w:val="053AD4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36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AC3535"/>
    <w:multiLevelType w:val="hybridMultilevel"/>
    <w:tmpl w:val="3BF481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074089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4"/>
        <w:szCs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" w15:restartNumberingAfterBreak="0">
    <w:nsid w:val="47DA30C6"/>
    <w:multiLevelType w:val="hybridMultilevel"/>
    <w:tmpl w:val="053AD42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36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080152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4C1759A7"/>
    <w:multiLevelType w:val="hybridMultilevel"/>
    <w:tmpl w:val="EE12D304"/>
    <w:lvl w:ilvl="0" w:tplc="CC0A1CD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844785"/>
    <w:multiLevelType w:val="hybridMultilevel"/>
    <w:tmpl w:val="10BA1B8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7AC93735"/>
    <w:multiLevelType w:val="hybridMultilevel"/>
    <w:tmpl w:val="7712816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741831835">
    <w:abstractNumId w:val="2"/>
  </w:num>
  <w:num w:numId="2" w16cid:durableId="1070078674">
    <w:abstractNumId w:val="4"/>
  </w:num>
  <w:num w:numId="3" w16cid:durableId="682905220">
    <w:abstractNumId w:val="0"/>
  </w:num>
  <w:num w:numId="4" w16cid:durableId="148400173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29948353">
    <w:abstractNumId w:val="3"/>
  </w:num>
  <w:num w:numId="6" w16cid:durableId="952706053">
    <w:abstractNumId w:val="7"/>
  </w:num>
  <w:num w:numId="7" w16cid:durableId="1843662610">
    <w:abstractNumId w:val="1"/>
  </w:num>
  <w:num w:numId="8" w16cid:durableId="138236813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embedTrueTypeFonts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E4AA6"/>
    <w:rsid w:val="00121AAD"/>
    <w:rsid w:val="001E4AA6"/>
    <w:rsid w:val="00227803"/>
    <w:rsid w:val="00310E62"/>
    <w:rsid w:val="00381F4C"/>
    <w:rsid w:val="00384D4F"/>
    <w:rsid w:val="003D3D85"/>
    <w:rsid w:val="0044363D"/>
    <w:rsid w:val="004E322B"/>
    <w:rsid w:val="005F1C66"/>
    <w:rsid w:val="005F5004"/>
    <w:rsid w:val="006D2C68"/>
    <w:rsid w:val="00716F93"/>
    <w:rsid w:val="00762347"/>
    <w:rsid w:val="00843F6C"/>
    <w:rsid w:val="00857481"/>
    <w:rsid w:val="00A133C7"/>
    <w:rsid w:val="00A83AE3"/>
    <w:rsid w:val="00AC6CAD"/>
    <w:rsid w:val="00B12452"/>
    <w:rsid w:val="00C13BED"/>
    <w:rsid w:val="00C14E6B"/>
    <w:rsid w:val="00CC4050"/>
    <w:rsid w:val="00CD5F75"/>
    <w:rsid w:val="00D17436"/>
    <w:rsid w:val="00D76F32"/>
    <w:rsid w:val="00DA7514"/>
    <w:rsid w:val="00E13CA6"/>
    <w:rsid w:val="00E8110C"/>
    <w:rsid w:val="00F70004"/>
    <w:rsid w:val="00FB51AA"/>
    <w:rsid w:val="04D2DB06"/>
    <w:rsid w:val="04F8B631"/>
    <w:rsid w:val="05E7F62A"/>
    <w:rsid w:val="098AD454"/>
    <w:rsid w:val="1F46A1DE"/>
    <w:rsid w:val="24ECFD97"/>
    <w:rsid w:val="6D8F4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BE1450"/>
  <w15:docId w15:val="{DCAE96FB-B9DC-4622-BDD7-F4D694028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2"/>
        <w:szCs w:val="22"/>
        <w:lang w:val="pl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133C7"/>
    <w:rPr>
      <w:rFonts w:ascii="Lato" w:hAnsi="Lato"/>
      <w:sz w:val="24"/>
    </w:rPr>
  </w:style>
  <w:style w:type="paragraph" w:styleId="Nagwek1">
    <w:name w:val="heading 1"/>
    <w:basedOn w:val="Normalny"/>
    <w:next w:val="Normalny"/>
    <w:uiPriority w:val="9"/>
    <w:qFormat/>
    <w:rsid w:val="00A133C7"/>
    <w:pPr>
      <w:spacing w:after="480"/>
      <w:ind w:left="567" w:hanging="567"/>
      <w:outlineLvl w:val="0"/>
    </w:pPr>
    <w:rPr>
      <w:b/>
      <w:bCs/>
      <w:color w:val="000000" w:themeColor="text1"/>
      <w:sz w:val="36"/>
      <w:szCs w:val="24"/>
    </w:rPr>
  </w:style>
  <w:style w:type="paragraph" w:styleId="Nagwek2">
    <w:name w:val="heading 2"/>
    <w:basedOn w:val="Normalny"/>
    <w:next w:val="Normalny"/>
    <w:uiPriority w:val="9"/>
    <w:unhideWhenUsed/>
    <w:qFormat/>
    <w:rsid w:val="00C13BED"/>
    <w:pPr>
      <w:spacing w:after="240"/>
      <w:ind w:left="567" w:hanging="567"/>
      <w:outlineLvl w:val="1"/>
    </w:pPr>
    <w:rPr>
      <w:b/>
      <w:bCs/>
      <w:color w:val="000000" w:themeColor="text1"/>
      <w:sz w:val="32"/>
      <w:szCs w:val="24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0F4761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paragraph" w:styleId="Nagwek7">
    <w:name w:val="heading 7"/>
    <w:link w:val="Nagwek7Znak"/>
    <w:uiPriority w:val="9"/>
    <w:semiHidden/>
    <w:unhideWhenUsed/>
    <w:qFormat/>
    <w:rsid w:val="0001798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link w:val="Nagwek8Znak"/>
    <w:uiPriority w:val="9"/>
    <w:semiHidden/>
    <w:unhideWhenUsed/>
    <w:qFormat/>
    <w:rsid w:val="0001798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link w:val="Nagwek9Znak"/>
    <w:uiPriority w:val="9"/>
    <w:semiHidden/>
    <w:unhideWhenUsed/>
    <w:qFormat/>
    <w:rsid w:val="0001798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uiPriority w:val="10"/>
    <w:qFormat/>
    <w:pPr>
      <w:spacing w:after="80" w:line="240" w:lineRule="auto"/>
    </w:pPr>
    <w:rPr>
      <w:rFonts w:ascii="Play" w:eastAsia="Play" w:hAnsi="Play" w:cs="Play"/>
      <w:sz w:val="56"/>
      <w:szCs w:val="56"/>
    </w:rPr>
  </w:style>
  <w:style w:type="table" w:customStyle="1" w:styleId="NormalTable0">
    <w:name w:val="Normal Table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0">
    <w:name w:val="TableNormal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Domylny">
    <w:name w:val="Domyślny"/>
    <w:autoRedefine/>
    <w:qFormat/>
    <w:rsid w:val="00121AAD"/>
    <w:pPr>
      <w:spacing w:before="120" w:after="120" w:line="276" w:lineRule="auto"/>
      <w:jc w:val="right"/>
    </w:pPr>
    <w:rPr>
      <w:rFonts w:ascii="Open Sans" w:hAnsi="Open Sans" w:cs="Open Sans"/>
    </w:rPr>
  </w:style>
  <w:style w:type="character" w:customStyle="1" w:styleId="Nagwek1Znak">
    <w:name w:val="Nagłówek 1 Znak"/>
    <w:basedOn w:val="Domylnaczcionkaakapitu"/>
    <w:uiPriority w:val="9"/>
    <w:rsid w:val="007C754E"/>
    <w:rPr>
      <w:b/>
      <w:bCs/>
      <w:color w:val="000000" w:themeColor="text1"/>
      <w:sz w:val="28"/>
      <w:szCs w:val="28"/>
    </w:rPr>
  </w:style>
  <w:style w:type="character" w:customStyle="1" w:styleId="Nagwek2Znak">
    <w:name w:val="Nagłówek 2 Znak"/>
    <w:basedOn w:val="Domylnaczcionkaakapitu"/>
    <w:uiPriority w:val="9"/>
    <w:rsid w:val="00F146A4"/>
    <w:rPr>
      <w:rFonts w:ascii="Aptos" w:hAnsi="Aptos"/>
      <w:b/>
      <w:bCs/>
      <w:color w:val="0B769F" w:themeColor="accent4" w:themeShade="BF"/>
      <w:sz w:val="24"/>
      <w:szCs w:val="24"/>
    </w:rPr>
  </w:style>
  <w:style w:type="character" w:customStyle="1" w:styleId="Nagwek3Znak">
    <w:name w:val="Nagłówek 3 Znak"/>
    <w:basedOn w:val="Domylnaczcionkaakapitu"/>
    <w:uiPriority w:val="9"/>
    <w:semiHidden/>
    <w:rsid w:val="0001798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uiPriority w:val="9"/>
    <w:semiHidden/>
    <w:rsid w:val="00017985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uiPriority w:val="9"/>
    <w:rsid w:val="00017985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uiPriority w:val="9"/>
    <w:semiHidden/>
    <w:rsid w:val="0001798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1798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1798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17985"/>
    <w:rPr>
      <w:rFonts w:eastAsiaTheme="majorEastAsia" w:cstheme="majorBidi"/>
      <w:color w:val="272727" w:themeColor="text1" w:themeTint="D8"/>
    </w:rPr>
  </w:style>
  <w:style w:type="character" w:customStyle="1" w:styleId="TytuZnak">
    <w:name w:val="Tytuł Znak"/>
    <w:basedOn w:val="Domylnaczcionkaakapitu"/>
    <w:uiPriority w:val="10"/>
    <w:rsid w:val="000179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odtytuZnak">
    <w:name w:val="Podtytuł Znak"/>
    <w:basedOn w:val="Domylnaczcionkaakapitu"/>
    <w:uiPriority w:val="11"/>
    <w:rsid w:val="0001798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link w:val="CytatZnak"/>
    <w:uiPriority w:val="29"/>
    <w:qFormat/>
    <w:rsid w:val="0001798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17985"/>
    <w:rPr>
      <w:i/>
      <w:iCs/>
      <w:color w:val="404040" w:themeColor="text1" w:themeTint="BF"/>
    </w:rPr>
  </w:style>
  <w:style w:type="paragraph" w:styleId="Akapitzlist">
    <w:name w:val="List Paragraph"/>
    <w:aliases w:val="T_SZ_List Paragraph,L1,Numerowanie,Akapit z listą5,CW_Lista,Podsis rysunku,Akapit z listą numerowaną,maz_wyliczenie,opis dzialania,K-P_odwolanie,A_wyliczenie,Akapit z listą 1,BulletC,Wyliczanie,Obiekt,normalny tekst,Akapit z listą31"/>
    <w:link w:val="AkapitzlistZnak"/>
    <w:uiPriority w:val="34"/>
    <w:qFormat/>
    <w:rsid w:val="0001798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17985"/>
    <w:rPr>
      <w:i/>
      <w:iCs/>
      <w:color w:val="0F4761" w:themeColor="accent1" w:themeShade="BF"/>
    </w:rPr>
  </w:style>
  <w:style w:type="paragraph" w:styleId="Cytatintensywny">
    <w:name w:val="Intense Quote"/>
    <w:link w:val="CytatintensywnyZnak"/>
    <w:uiPriority w:val="30"/>
    <w:qFormat/>
    <w:rsid w:val="0001798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17985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17985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NormalTable0"/>
    <w:uiPriority w:val="39"/>
    <w:rsid w:val="00AE6554"/>
    <w:pPr>
      <w:spacing w:after="0" w:line="240" w:lineRule="auto"/>
    </w:pPr>
    <w:rPr>
      <w:rFonts w:ascii="Calibri" w:eastAsia="Calibri" w:hAnsi="Calibri" w:cs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Wyrnieniedelikatne">
    <w:name w:val="Subtle Emphasis"/>
    <w:basedOn w:val="Domylnaczcionkaakapitu"/>
    <w:uiPriority w:val="19"/>
    <w:qFormat/>
    <w:rsid w:val="00AE6554"/>
    <w:rPr>
      <w:i/>
      <w:iCs/>
      <w:color w:val="404040" w:themeColor="text1" w:themeTint="BF"/>
    </w:rPr>
  </w:style>
  <w:style w:type="paragraph" w:styleId="Tekstprzypisukocowego">
    <w:name w:val="endnote text"/>
    <w:link w:val="TekstprzypisukocowegoZnak"/>
    <w:uiPriority w:val="99"/>
    <w:semiHidden/>
    <w:unhideWhenUsed/>
    <w:rsid w:val="00C54F9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F9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F98"/>
    <w:rPr>
      <w:vertAlign w:val="superscript"/>
    </w:rPr>
  </w:style>
  <w:style w:type="paragraph" w:styleId="NormalnyWeb">
    <w:name w:val="Normal (Web)"/>
    <w:uiPriority w:val="99"/>
    <w:unhideWhenUsed/>
    <w:rsid w:val="00B67E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B67EF0"/>
    <w:rPr>
      <w:b/>
      <w:bCs/>
    </w:rPr>
  </w:style>
  <w:style w:type="paragraph" w:styleId="Nagwek">
    <w:name w:val="header"/>
    <w:link w:val="NagwekZnak"/>
    <w:uiPriority w:val="99"/>
    <w:unhideWhenUsed/>
    <w:rsid w:val="00EA37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A3727"/>
  </w:style>
  <w:style w:type="paragraph" w:styleId="Stopka">
    <w:name w:val="footer"/>
    <w:link w:val="StopkaZnak"/>
    <w:uiPriority w:val="99"/>
    <w:unhideWhenUsed/>
    <w:rsid w:val="00EA37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A3727"/>
  </w:style>
  <w:style w:type="paragraph" w:styleId="Tekstprzypisudolnego">
    <w:name w:val="footnote text"/>
    <w:link w:val="TekstprzypisudolnegoZnak"/>
    <w:uiPriority w:val="99"/>
    <w:semiHidden/>
    <w:unhideWhenUsed/>
    <w:rsid w:val="00D571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5713F"/>
    <w:rPr>
      <w:rFonts w:ascii="Times New Roman" w:eastAsia="Times New Roman" w:hAnsi="Times New Roman" w:cs="Times New Roman"/>
      <w:kern w:val="0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5713F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7102AA"/>
    <w:rPr>
      <w:color w:val="467886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102AA"/>
    <w:rPr>
      <w:color w:val="605E5C"/>
      <w:shd w:val="clear" w:color="auto" w:fill="E1DFDD"/>
    </w:rPr>
  </w:style>
  <w:style w:type="table" w:customStyle="1" w:styleId="a">
    <w:basedOn w:val="TableNormal0"/>
    <w:pPr>
      <w:spacing w:after="0" w:line="240" w:lineRule="auto"/>
    </w:pPr>
    <w:rPr>
      <w:rFonts w:ascii="Calibri" w:eastAsia="Calibri" w:hAnsi="Calibri" w:cs="Calibri"/>
      <w:sz w:val="24"/>
      <w:szCs w:val="24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0"/>
    <w:tblPr>
      <w:tblStyleRowBandSize w:val="1"/>
      <w:tblStyleColBandSize w:val="1"/>
    </w:tblPr>
  </w:style>
  <w:style w:type="table" w:customStyle="1" w:styleId="a1">
    <w:basedOn w:val="TableNormal0"/>
    <w:pPr>
      <w:spacing w:after="0" w:line="240" w:lineRule="auto"/>
    </w:pPr>
    <w:rPr>
      <w:rFonts w:ascii="Calibri" w:eastAsia="Calibri" w:hAnsi="Calibri" w:cs="Calibri"/>
      <w:sz w:val="24"/>
      <w:szCs w:val="24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kapitzlistZnak">
    <w:name w:val="Akapit z listą Znak"/>
    <w:aliases w:val="T_SZ_List Paragraph Znak,L1 Znak,Numerowanie Znak,Akapit z listą5 Znak,CW_Lista Znak,Podsis rysunku Znak,Akapit z listą numerowaną Znak,maz_wyliczenie Znak,opis dzialania Znak,K-P_odwolanie Znak,A_wyliczenie Znak,BulletC Znak"/>
    <w:link w:val="Akapitzlist"/>
    <w:uiPriority w:val="34"/>
    <w:locked/>
    <w:rsid w:val="00C07CA0"/>
  </w:style>
  <w:style w:type="character" w:styleId="Odwoaniedokomentarza">
    <w:name w:val="annotation reference"/>
    <w:uiPriority w:val="99"/>
    <w:semiHidden/>
    <w:unhideWhenUsed/>
    <w:rsid w:val="00E57163"/>
    <w:rPr>
      <w:sz w:val="16"/>
      <w:szCs w:val="16"/>
    </w:rPr>
  </w:style>
  <w:style w:type="paragraph" w:styleId="Tekstkomentarza">
    <w:name w:val="annotation text"/>
    <w:link w:val="TekstkomentarzaZnak"/>
    <w:uiPriority w:val="99"/>
    <w:unhideWhenUsed/>
    <w:rsid w:val="00E57163"/>
    <w:pPr>
      <w:spacing w:after="240" w:line="36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57163"/>
    <w:rPr>
      <w:sz w:val="20"/>
      <w:szCs w:val="20"/>
    </w:rPr>
  </w:style>
  <w:style w:type="paragraph" w:styleId="Podtytu">
    <w:name w:val="Subtitle"/>
    <w:basedOn w:val="Normalny"/>
    <w:next w:val="Normalny"/>
    <w:uiPriority w:val="11"/>
    <w:qFormat/>
    <w:rPr>
      <w:color w:val="595959"/>
      <w:sz w:val="28"/>
      <w:szCs w:val="28"/>
    </w:rPr>
  </w:style>
  <w:style w:type="table" w:customStyle="1" w:styleId="TableNormal1">
    <w:name w:val="Table Normal"/>
    <w:uiPriority w:val="2"/>
    <w:semiHidden/>
    <w:unhideWhenUsed/>
    <w:qFormat/>
    <w:rsid w:val="00121AAD"/>
    <w:pPr>
      <w:widowControl w:val="0"/>
      <w:autoSpaceDE w:val="0"/>
      <w:autoSpaceDN w:val="0"/>
      <w:spacing w:after="0" w:line="240" w:lineRule="auto"/>
    </w:pPr>
    <w:rPr>
      <w:rFonts w:asciiTheme="minorHAnsi" w:eastAsiaTheme="minorHAnsi" w:hAnsi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121AA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pl-PL"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623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6234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vXkix3ukbrXQJ6fc5JeP5m1BE8w==">CgMxLjAyDmgubDY4MDY0N24wcTlrOAByITFBenNQRWpVdFRPeXRwTW4zdDBWcjl4UXlmUzJ1S2U2SQ==</go:docsCustomData>
</go:gDocsCustomXmlDataStorage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18CED0D3CFC584B9326D5CFB75FB31B" ma:contentTypeVersion="7" ma:contentTypeDescription="Utwórz nowy dokument." ma:contentTypeScope="" ma:versionID="c4cc2689e27525d95cde8bc1c633af1c">
  <xsd:schema xmlns:xsd="http://www.w3.org/2001/XMLSchema" xmlns:xs="http://www.w3.org/2001/XMLSchema" xmlns:p="http://schemas.microsoft.com/office/2006/metadata/properties" xmlns:ns2="e60473f2-2fdd-49a5-a9af-0eac467449b0" targetNamespace="http://schemas.microsoft.com/office/2006/metadata/properties" ma:root="true" ma:fieldsID="600931b6e9851619f57a8b01267b580c" ns2:_="">
    <xsd:import namespace="e60473f2-2fdd-49a5-a9af-0eac467449b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473f2-2fdd-49a5-a9af-0eac467449b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3EA1ED3F-529D-4289-89B4-365FA0354C5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60E5AF9-C778-40CE-AD97-3D42232DE162}"/>
</file>

<file path=customXml/itemProps4.xml><?xml version="1.0" encoding="utf-8"?>
<ds:datastoreItem xmlns:ds="http://schemas.openxmlformats.org/officeDocument/2006/customXml" ds:itemID="{069043DD-40ED-4EC8-B70C-D84FE36912F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274</Words>
  <Characters>1646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Lista sprawdzająca dostępność architektoniczną</dc:title>
  <dc:creator>Monika Miedzik</dc:creator>
  <cp:lastModifiedBy>Centrum Wsparcia</cp:lastModifiedBy>
  <cp:revision>9</cp:revision>
  <dcterms:created xsi:type="dcterms:W3CDTF">2026-02-25T16:16:00Z</dcterms:created>
  <dcterms:modified xsi:type="dcterms:W3CDTF">2026-04-15T15:31:00Z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0x010100818CED0D3CFC584B9326D5CFB75FB31B</vt:lpwstr>
  </property>
</Properties>
</file>