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70A" w:rsidRPr="00836F6B" w:rsidRDefault="0016470A" w:rsidP="0016470A">
      <w:pPr>
        <w:spacing w:line="276" w:lineRule="auto"/>
        <w:jc w:val="center"/>
        <w:rPr>
          <w:rFonts w:cs="Times New Roman"/>
          <w:b/>
          <w:sz w:val="28"/>
          <w:szCs w:val="28"/>
        </w:rPr>
      </w:pPr>
      <w:r w:rsidRPr="00836F6B">
        <w:rPr>
          <w:rFonts w:cs="Times New Roman"/>
          <w:b/>
          <w:sz w:val="28"/>
          <w:szCs w:val="28"/>
        </w:rPr>
        <w:t>Informacja nt. lasów państwowych w czasie pandemii w 2020 r.</w:t>
      </w:r>
      <w:bookmarkStart w:id="0" w:name="_GoBack"/>
      <w:bookmarkEnd w:id="0"/>
    </w:p>
    <w:p w:rsidR="006E25D4" w:rsidRPr="00836F6B" w:rsidRDefault="006E25D4" w:rsidP="00836F6B">
      <w:pPr>
        <w:spacing w:line="360" w:lineRule="auto"/>
        <w:rPr>
          <w:rFonts w:cs="Times New Roman"/>
          <w:sz w:val="24"/>
          <w:szCs w:val="24"/>
        </w:rPr>
      </w:pPr>
      <w:r w:rsidRPr="00836F6B">
        <w:rPr>
          <w:rFonts w:cs="Times New Roman"/>
          <w:sz w:val="24"/>
          <w:szCs w:val="24"/>
        </w:rPr>
        <w:t xml:space="preserve">W 2020 r. ze względu na ograniczenia sanitarne spowodowane trwającą od marca 2020 r. pandemią </w:t>
      </w:r>
      <w:proofErr w:type="spellStart"/>
      <w:r w:rsidRPr="00836F6B">
        <w:rPr>
          <w:rFonts w:cs="Times New Roman"/>
          <w:sz w:val="24"/>
          <w:szCs w:val="24"/>
        </w:rPr>
        <w:t>koronawirusa</w:t>
      </w:r>
      <w:proofErr w:type="spellEnd"/>
      <w:r w:rsidRPr="00836F6B">
        <w:rPr>
          <w:rFonts w:cs="Times New Roman"/>
          <w:sz w:val="24"/>
          <w:szCs w:val="24"/>
        </w:rPr>
        <w:t xml:space="preserve"> (</w:t>
      </w:r>
      <w:proofErr w:type="spellStart"/>
      <w:r w:rsidRPr="00836F6B">
        <w:rPr>
          <w:rFonts w:cs="Times New Roman"/>
          <w:sz w:val="24"/>
          <w:szCs w:val="24"/>
        </w:rPr>
        <w:t>lockdown</w:t>
      </w:r>
      <w:proofErr w:type="spellEnd"/>
      <w:r w:rsidRPr="00836F6B">
        <w:rPr>
          <w:rFonts w:cs="Times New Roman"/>
          <w:sz w:val="24"/>
          <w:szCs w:val="24"/>
        </w:rPr>
        <w:t xml:space="preserve">, ograniczenia w działalności placówek oświatowych, czasowe zamknięcie infrastruktury edukacyjnej i turystycznej, etc.) z dotychczasowych, tradycyjnych form edukacji oferowanych przez Lasy Państwowe, głównie w oparciu o obiekty edukacyjne skorzystało znacznie mniej osób niż w latach poprzednich - około 550 tys. </w:t>
      </w:r>
    </w:p>
    <w:p w:rsidR="006E25D4" w:rsidRPr="00836F6B" w:rsidRDefault="006E25D4" w:rsidP="00836F6B">
      <w:pPr>
        <w:spacing w:line="360" w:lineRule="auto"/>
        <w:rPr>
          <w:rFonts w:cs="Times New Roman"/>
          <w:sz w:val="24"/>
          <w:szCs w:val="24"/>
        </w:rPr>
      </w:pPr>
      <w:r w:rsidRPr="00836F6B">
        <w:rPr>
          <w:rFonts w:cs="Times New Roman"/>
          <w:sz w:val="24"/>
          <w:szCs w:val="24"/>
        </w:rPr>
        <w:t>Na tradycyjną ofertę edukacyjną złożyły się:</w:t>
      </w:r>
    </w:p>
    <w:p w:rsidR="006E25D4" w:rsidRPr="00836F6B" w:rsidRDefault="006E25D4" w:rsidP="00836F6B">
      <w:pPr>
        <w:pStyle w:val="Akapitzlist"/>
        <w:numPr>
          <w:ilvl w:val="0"/>
          <w:numId w:val="3"/>
        </w:numPr>
        <w:spacing w:line="360" w:lineRule="auto"/>
        <w:rPr>
          <w:rFonts w:cs="Times New Roman"/>
          <w:sz w:val="24"/>
          <w:szCs w:val="24"/>
        </w:rPr>
      </w:pPr>
      <w:r w:rsidRPr="00836F6B">
        <w:rPr>
          <w:rFonts w:cs="Times New Roman"/>
          <w:sz w:val="24"/>
          <w:szCs w:val="24"/>
        </w:rPr>
        <w:t>lekcje terenowe i wycieczki z przewodnikiem – ok 79 tys. osób,</w:t>
      </w:r>
    </w:p>
    <w:p w:rsidR="006E25D4" w:rsidRPr="00836F6B" w:rsidRDefault="006E25D4" w:rsidP="00836F6B">
      <w:pPr>
        <w:pStyle w:val="Akapitzlist"/>
        <w:numPr>
          <w:ilvl w:val="0"/>
          <w:numId w:val="3"/>
        </w:numPr>
        <w:spacing w:line="360" w:lineRule="auto"/>
        <w:rPr>
          <w:rFonts w:cs="Times New Roman"/>
          <w:sz w:val="24"/>
          <w:szCs w:val="24"/>
        </w:rPr>
      </w:pPr>
      <w:r w:rsidRPr="00836F6B">
        <w:rPr>
          <w:rFonts w:cs="Times New Roman"/>
          <w:sz w:val="24"/>
          <w:szCs w:val="24"/>
        </w:rPr>
        <w:t>lekcje w izbach edukacji leśnej – ok. 28 tys. osób,</w:t>
      </w:r>
    </w:p>
    <w:p w:rsidR="006E25D4" w:rsidRPr="00836F6B" w:rsidRDefault="006E25D4" w:rsidP="00836F6B">
      <w:pPr>
        <w:pStyle w:val="Akapitzlist"/>
        <w:numPr>
          <w:ilvl w:val="0"/>
          <w:numId w:val="3"/>
        </w:numPr>
        <w:spacing w:line="360" w:lineRule="auto"/>
        <w:rPr>
          <w:rFonts w:cs="Times New Roman"/>
          <w:sz w:val="24"/>
          <w:szCs w:val="24"/>
        </w:rPr>
      </w:pPr>
      <w:r w:rsidRPr="00836F6B">
        <w:rPr>
          <w:rFonts w:cs="Times New Roman"/>
          <w:sz w:val="24"/>
          <w:szCs w:val="24"/>
        </w:rPr>
        <w:t>spotkania z leśnikiem w szkołach – ok. 41 tys. osób,</w:t>
      </w:r>
    </w:p>
    <w:p w:rsidR="006E25D4" w:rsidRPr="00836F6B" w:rsidRDefault="006E25D4" w:rsidP="00836F6B">
      <w:pPr>
        <w:pStyle w:val="Akapitzlist"/>
        <w:numPr>
          <w:ilvl w:val="0"/>
          <w:numId w:val="3"/>
        </w:numPr>
        <w:spacing w:line="360" w:lineRule="auto"/>
        <w:rPr>
          <w:rFonts w:cs="Times New Roman"/>
          <w:sz w:val="24"/>
          <w:szCs w:val="24"/>
        </w:rPr>
      </w:pPr>
      <w:r w:rsidRPr="00836F6B">
        <w:rPr>
          <w:rFonts w:cs="Times New Roman"/>
          <w:sz w:val="24"/>
          <w:szCs w:val="24"/>
        </w:rPr>
        <w:t>spotkania z leśnikiem poza szkołą –ok. 15 tys. osób,</w:t>
      </w:r>
    </w:p>
    <w:p w:rsidR="006E25D4" w:rsidRPr="00836F6B" w:rsidRDefault="006E25D4" w:rsidP="00836F6B">
      <w:pPr>
        <w:pStyle w:val="Akapitzlist"/>
        <w:numPr>
          <w:ilvl w:val="0"/>
          <w:numId w:val="3"/>
        </w:numPr>
        <w:spacing w:line="360" w:lineRule="auto"/>
        <w:rPr>
          <w:rFonts w:cs="Times New Roman"/>
          <w:sz w:val="24"/>
          <w:szCs w:val="24"/>
        </w:rPr>
      </w:pPr>
      <w:r w:rsidRPr="00836F6B">
        <w:rPr>
          <w:rFonts w:cs="Times New Roman"/>
          <w:sz w:val="24"/>
          <w:szCs w:val="24"/>
        </w:rPr>
        <w:t>akcje i imprezy edukacyjne – ok. 20 tys. osób,</w:t>
      </w:r>
    </w:p>
    <w:p w:rsidR="006E25D4" w:rsidRPr="00836F6B" w:rsidRDefault="006E25D4" w:rsidP="00836F6B">
      <w:pPr>
        <w:pStyle w:val="Akapitzlist"/>
        <w:numPr>
          <w:ilvl w:val="0"/>
          <w:numId w:val="3"/>
        </w:numPr>
        <w:spacing w:line="360" w:lineRule="auto"/>
        <w:rPr>
          <w:rFonts w:cs="Times New Roman"/>
          <w:sz w:val="24"/>
          <w:szCs w:val="24"/>
        </w:rPr>
      </w:pPr>
      <w:r w:rsidRPr="00836F6B">
        <w:rPr>
          <w:rFonts w:cs="Times New Roman"/>
          <w:sz w:val="24"/>
          <w:szCs w:val="24"/>
        </w:rPr>
        <w:t>wystawy edukacyjne – ok 141 tys. osób,</w:t>
      </w:r>
    </w:p>
    <w:p w:rsidR="006E25D4" w:rsidRPr="00836F6B" w:rsidRDefault="006E25D4" w:rsidP="00836F6B">
      <w:pPr>
        <w:pStyle w:val="Akapitzlist"/>
        <w:numPr>
          <w:ilvl w:val="0"/>
          <w:numId w:val="3"/>
        </w:numPr>
        <w:spacing w:line="360" w:lineRule="auto"/>
        <w:rPr>
          <w:rFonts w:cs="Times New Roman"/>
          <w:sz w:val="24"/>
          <w:szCs w:val="24"/>
        </w:rPr>
      </w:pPr>
      <w:r w:rsidRPr="00836F6B">
        <w:rPr>
          <w:rFonts w:cs="Times New Roman"/>
          <w:sz w:val="24"/>
          <w:szCs w:val="24"/>
        </w:rPr>
        <w:t>konkursy leśne – ok. 29 tys. osób,</w:t>
      </w:r>
    </w:p>
    <w:p w:rsidR="006E25D4" w:rsidRPr="00836F6B" w:rsidRDefault="006E25D4" w:rsidP="00836F6B">
      <w:pPr>
        <w:pStyle w:val="Akapitzlist"/>
        <w:numPr>
          <w:ilvl w:val="0"/>
          <w:numId w:val="3"/>
        </w:numPr>
        <w:spacing w:line="360" w:lineRule="auto"/>
        <w:rPr>
          <w:rFonts w:cs="Times New Roman"/>
          <w:sz w:val="24"/>
          <w:szCs w:val="24"/>
        </w:rPr>
      </w:pPr>
      <w:r w:rsidRPr="00836F6B">
        <w:rPr>
          <w:rFonts w:cs="Times New Roman"/>
          <w:sz w:val="24"/>
          <w:szCs w:val="24"/>
        </w:rPr>
        <w:t>inne imprezy np. festyny, targi itp. – ok. 200 tys. osób.</w:t>
      </w:r>
    </w:p>
    <w:p w:rsidR="006E25D4" w:rsidRPr="00836F6B" w:rsidRDefault="006E25D4" w:rsidP="00836F6B">
      <w:pPr>
        <w:spacing w:line="360" w:lineRule="auto"/>
        <w:rPr>
          <w:rFonts w:cs="Times New Roman"/>
          <w:sz w:val="24"/>
          <w:szCs w:val="24"/>
        </w:rPr>
      </w:pPr>
      <w:r w:rsidRPr="00836F6B">
        <w:rPr>
          <w:rFonts w:cs="Times New Roman"/>
          <w:sz w:val="24"/>
          <w:szCs w:val="24"/>
        </w:rPr>
        <w:t>Zajęcia prowadzone były przy wykorzystaniu infrastruktury edukacyjnej Lasów Państwowych, na która składają się ośrodki edukacji leśnej (53), izby edukacji leśnej (212), wiaty edukacyjne tzw. zielone klasy (442), leśne ścieżki edukacyjne (dydaktyczne) (758), punkty edukacji leśnej (1503), inne obiekty (2752).</w:t>
      </w:r>
    </w:p>
    <w:p w:rsidR="006E25D4" w:rsidRPr="00836F6B" w:rsidRDefault="006E25D4" w:rsidP="00836F6B">
      <w:pPr>
        <w:spacing w:line="360" w:lineRule="auto"/>
        <w:rPr>
          <w:rFonts w:cs="Times New Roman"/>
          <w:sz w:val="24"/>
          <w:szCs w:val="24"/>
        </w:rPr>
      </w:pPr>
      <w:r w:rsidRPr="00836F6B">
        <w:rPr>
          <w:rFonts w:cs="Times New Roman"/>
          <w:sz w:val="24"/>
          <w:szCs w:val="24"/>
        </w:rPr>
        <w:t xml:space="preserve">Liderami edukacji leśnej społeczeństwa są leśne kompleksy promocyjne, na terenie których z </w:t>
      </w:r>
      <w:r w:rsidR="0016470A" w:rsidRPr="00836F6B">
        <w:rPr>
          <w:rFonts w:cs="Times New Roman"/>
          <w:sz w:val="24"/>
          <w:szCs w:val="24"/>
        </w:rPr>
        <w:t> r</w:t>
      </w:r>
      <w:r w:rsidRPr="00836F6B">
        <w:rPr>
          <w:rFonts w:cs="Times New Roman"/>
          <w:sz w:val="24"/>
          <w:szCs w:val="24"/>
        </w:rPr>
        <w:t xml:space="preserve">óżnych jej form w roku 2020 skorzystało prawie 40% uczestników zajęć edukacyjnych przygotowanych przez leśników. To w leśnych kompleksach promocyjnych pracuje najbardziej wykwalifikowana i doświadczona kadra edukacyjna tzw. liderzy edukacji leśnej społeczeństwa. Sprzyja temu najlepiej rozwinięta infrastruktura edukacyjna w skład której wchodzą ośrodki edukacji leśnej (29), izby edukacyjne (49), wiaty edukacyjne – tzw. zielone klasy (96), ścieżki dydaktyczne (202), punkty edukacyjne (394), inne obiekty (1173), a także „zielona szkoła’’. </w:t>
      </w:r>
    </w:p>
    <w:p w:rsidR="006E25D4" w:rsidRPr="00836F6B" w:rsidRDefault="006E25D4" w:rsidP="00836F6B">
      <w:pPr>
        <w:spacing w:line="360" w:lineRule="auto"/>
        <w:rPr>
          <w:rFonts w:cs="Times New Roman"/>
          <w:sz w:val="24"/>
          <w:szCs w:val="24"/>
        </w:rPr>
      </w:pPr>
      <w:r w:rsidRPr="00836F6B">
        <w:rPr>
          <w:rFonts w:cs="Times New Roman"/>
          <w:sz w:val="24"/>
          <w:szCs w:val="24"/>
        </w:rPr>
        <w:t xml:space="preserve">Leśne kompleksy promocyjne są ponadto alternatywą dla nadmiernie przeciążonych ruchem turystycznym parków narodowych, w których turystyka odbywa się według rygorystycznych, </w:t>
      </w:r>
      <w:r w:rsidRPr="00836F6B">
        <w:rPr>
          <w:rFonts w:cs="Times New Roman"/>
          <w:sz w:val="24"/>
          <w:szCs w:val="24"/>
        </w:rPr>
        <w:lastRenderedPageBreak/>
        <w:t>ściśle określonych zasad. Dzięki promocji lasów i ich otwarciu na społeczne potrzeby Lasy Państwowe dają możliwość nie tylko zapoznania się z zasadami ekologicznej gospodarki leśnej, ale również żywego kontaktu z przyrodą – be</w:t>
      </w:r>
      <w:r w:rsidR="0016470A" w:rsidRPr="00836F6B">
        <w:rPr>
          <w:rFonts w:cs="Times New Roman"/>
          <w:sz w:val="24"/>
          <w:szCs w:val="24"/>
        </w:rPr>
        <w:t>z większych ograniczeń wstępu i p</w:t>
      </w:r>
      <w:r w:rsidRPr="00836F6B">
        <w:rPr>
          <w:rFonts w:cs="Times New Roman"/>
          <w:sz w:val="24"/>
          <w:szCs w:val="24"/>
        </w:rPr>
        <w:t>oruszania się po lesie – także dla osób niepełnosprawnych</w:t>
      </w:r>
      <w:r w:rsidR="0016470A" w:rsidRPr="00836F6B">
        <w:rPr>
          <w:rFonts w:cs="Times New Roman"/>
          <w:sz w:val="24"/>
          <w:szCs w:val="24"/>
        </w:rPr>
        <w:t>, co jest niezmiernie istotne w </w:t>
      </w:r>
      <w:r w:rsidRPr="00836F6B">
        <w:rPr>
          <w:rFonts w:cs="Times New Roman"/>
          <w:sz w:val="24"/>
          <w:szCs w:val="24"/>
        </w:rPr>
        <w:t xml:space="preserve">edukacji, szczególnie dzieci i młodzieży. </w:t>
      </w:r>
    </w:p>
    <w:p w:rsidR="00B94674" w:rsidRPr="00836F6B" w:rsidRDefault="006E25D4" w:rsidP="00836F6B">
      <w:pPr>
        <w:spacing w:line="360" w:lineRule="auto"/>
        <w:rPr>
          <w:rFonts w:cs="Times New Roman"/>
          <w:sz w:val="24"/>
          <w:szCs w:val="24"/>
        </w:rPr>
      </w:pPr>
      <w:r w:rsidRPr="00836F6B">
        <w:rPr>
          <w:rFonts w:cs="Times New Roman"/>
          <w:sz w:val="24"/>
          <w:szCs w:val="24"/>
        </w:rPr>
        <w:t xml:space="preserve">Prowadzona przez Lasy Państwowe polityka promocji pozwoliła na utworzenie we wszystkich 17 regionalnych dyrekcjach Lasów Państwowych 25 LKP, których łączna powierzchnia wynosi około 1279 tys. ha, w tym w PGL Lasy Państwowe – ponad 1256 tys. ha, co odpowiada ponad 17% powierzchni znajdującej się w zarządzie PGL LP.  </w:t>
      </w:r>
    </w:p>
    <w:sectPr w:rsidR="00B94674" w:rsidRPr="00836F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C41B7B"/>
    <w:multiLevelType w:val="hybridMultilevel"/>
    <w:tmpl w:val="0896E77E"/>
    <w:lvl w:ilvl="0" w:tplc="A426D1C4">
      <w:numFmt w:val="bullet"/>
      <w:lvlText w:val="·"/>
      <w:lvlJc w:val="left"/>
      <w:pPr>
        <w:ind w:left="795" w:hanging="43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D177AD9"/>
    <w:multiLevelType w:val="hybridMultilevel"/>
    <w:tmpl w:val="610C8160"/>
    <w:lvl w:ilvl="0" w:tplc="04150001">
      <w:start w:val="1"/>
      <w:numFmt w:val="bullet"/>
      <w:lvlText w:val=""/>
      <w:lvlJc w:val="left"/>
      <w:pPr>
        <w:ind w:left="795" w:hanging="435"/>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A311DBA"/>
    <w:multiLevelType w:val="hybridMultilevel"/>
    <w:tmpl w:val="3C68CF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67B"/>
    <w:rsid w:val="0016470A"/>
    <w:rsid w:val="006E25D4"/>
    <w:rsid w:val="00836F6B"/>
    <w:rsid w:val="00B94674"/>
    <w:rsid w:val="00BF7C4D"/>
    <w:rsid w:val="00C516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59494-3708-48E3-8315-94877BF5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E25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394</Words>
  <Characters>2370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nt. lasów państwowych w czasie pandemii w 2020 r.</dc:title>
  <dc:subject/>
  <dc:creator>Agata Jaworska</dc:creator>
  <cp:keywords/>
  <dc:description/>
  <cp:lastModifiedBy>Ewa Dabrowska</cp:lastModifiedBy>
  <cp:revision>5</cp:revision>
  <dcterms:created xsi:type="dcterms:W3CDTF">2022-01-10T13:13:00Z</dcterms:created>
  <dcterms:modified xsi:type="dcterms:W3CDTF">2022-01-20T09:31:00Z</dcterms:modified>
</cp:coreProperties>
</file>