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linia pozioma ozdobna"/>
      </w:tblPr>
      <w:tblGrid>
        <w:gridCol w:w="9540"/>
      </w:tblGrid>
      <w:tr w:rsidR="0047292C" w:rsidRPr="00673D43" w14:paraId="66578C2F" w14:textId="77777777" w:rsidTr="001E0E3E">
        <w:trPr>
          <w:cantSplit/>
          <w:trHeight w:val="389"/>
        </w:trPr>
        <w:tc>
          <w:tcPr>
            <w:tcW w:w="9540" w:type="dxa"/>
          </w:tcPr>
          <w:p w14:paraId="66C31DB5" w14:textId="1CE3DC5E" w:rsidR="0047292C" w:rsidRPr="00955E99" w:rsidRDefault="0047292C" w:rsidP="00567D33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10"/>
                <w:sz w:val="24"/>
                <w:szCs w:val="24"/>
              </w:rPr>
            </w:pPr>
            <w:bookmarkStart w:id="0" w:name="_GoBack"/>
            <w:bookmarkEnd w:id="0"/>
            <w:r w:rsidRPr="00955E99">
              <w:rPr>
                <w:rFonts w:asciiTheme="minorHAnsi" w:hAnsiTheme="minorHAnsi" w:cstheme="minorHAnsi"/>
                <w:b/>
                <w:bCs/>
                <w:spacing w:val="10"/>
                <w:sz w:val="24"/>
                <w:szCs w:val="24"/>
              </w:rPr>
              <w:t>MINISTERSTWO RODZINY I POLITYKI SPOŁECZNEJ</w:t>
            </w:r>
          </w:p>
        </w:tc>
      </w:tr>
      <w:tr w:rsidR="0047292C" w:rsidRPr="008F6953" w14:paraId="47D25CDC" w14:textId="77777777" w:rsidTr="001E0E3E">
        <w:trPr>
          <w:cantSplit/>
          <w:trHeight w:val="1349"/>
        </w:trPr>
        <w:tc>
          <w:tcPr>
            <w:tcW w:w="9540" w:type="dxa"/>
          </w:tcPr>
          <w:p w14:paraId="47A9C256" w14:textId="77777777" w:rsidR="0047292C" w:rsidRPr="00955E99" w:rsidRDefault="0047292C" w:rsidP="00567D33">
            <w:pPr>
              <w:tabs>
                <w:tab w:val="left" w:pos="1260"/>
              </w:tabs>
              <w:spacing w:after="120"/>
              <w:jc w:val="center"/>
              <w:rPr>
                <w:rFonts w:cstheme="minorHAnsi"/>
                <w:smallCaps/>
                <w:spacing w:val="10"/>
              </w:rPr>
            </w:pPr>
            <w:r w:rsidRPr="00955E99">
              <w:rPr>
                <w:rFonts w:cstheme="minorHAnsi"/>
                <w:smallCaps/>
                <w:spacing w:val="10"/>
              </w:rPr>
              <w:t>BIURO PEŁNOMOCNIKA RZĄDU DO SPRAW OSÓB NIEPEŁNOSPRAWNYCH</w:t>
            </w:r>
          </w:p>
          <w:p w14:paraId="1D59A287" w14:textId="0DDA05D1" w:rsidR="0047292C" w:rsidRPr="00955E99" w:rsidRDefault="0047292C" w:rsidP="00567D33">
            <w:pPr>
              <w:tabs>
                <w:tab w:val="left" w:pos="1260"/>
              </w:tabs>
              <w:spacing w:after="120"/>
              <w:jc w:val="center"/>
              <w:rPr>
                <w:rFonts w:cstheme="minorHAnsi"/>
                <w:i/>
                <w:iCs/>
                <w:lang w:val="de-DE"/>
              </w:rPr>
            </w:pPr>
            <w:r w:rsidRPr="00955E99">
              <w:rPr>
                <w:rFonts w:cstheme="minorHAnsi"/>
                <w:i/>
                <w:iCs/>
              </w:rPr>
              <w:t xml:space="preserve">ul. Nowogrodzka 1/3/5, 00-513 Warszawa, tel. </w:t>
            </w:r>
            <w:r w:rsidRPr="00955E99">
              <w:rPr>
                <w:rFonts w:cstheme="minorHAnsi"/>
                <w:i/>
                <w:iCs/>
                <w:lang w:val="de-DE"/>
              </w:rPr>
              <w:t>+48</w:t>
            </w:r>
            <w:r w:rsidR="003E1ACC">
              <w:rPr>
                <w:rFonts w:cstheme="minorHAnsi"/>
                <w:i/>
                <w:iCs/>
                <w:lang w:val="de-DE"/>
              </w:rPr>
              <w:t> 538 117 590</w:t>
            </w:r>
          </w:p>
          <w:p w14:paraId="12BCC407" w14:textId="0C8112CE" w:rsidR="0047292C" w:rsidRPr="00955E99" w:rsidRDefault="0047292C" w:rsidP="00567D33">
            <w:pPr>
              <w:tabs>
                <w:tab w:val="left" w:pos="1260"/>
              </w:tabs>
              <w:spacing w:after="120"/>
              <w:jc w:val="center"/>
              <w:rPr>
                <w:rFonts w:cstheme="minorHAnsi"/>
                <w:i/>
                <w:lang w:val="de-DE"/>
              </w:rPr>
            </w:pPr>
            <w:r w:rsidRPr="00955E99">
              <w:rPr>
                <w:rFonts w:cstheme="minorHAnsi"/>
                <w:i/>
                <w:iCs/>
                <w:lang w:val="de-DE"/>
              </w:rPr>
              <w:t>www.gov.pl/rodzina; www.niepelnosprawni.gov.pl; e-mail: sekretariat.bon@mrips.gov.pl</w:t>
            </w:r>
          </w:p>
          <w:p w14:paraId="6EB8EFBF" w14:textId="0F194959" w:rsidR="0047292C" w:rsidRPr="00955E99" w:rsidRDefault="00E877B9" w:rsidP="00567D33">
            <w:pPr>
              <w:tabs>
                <w:tab w:val="left" w:pos="1260"/>
                <w:tab w:val="center" w:pos="4700"/>
                <w:tab w:val="left" w:pos="7820"/>
              </w:tabs>
              <w:spacing w:after="120"/>
              <w:rPr>
                <w:rFonts w:cstheme="minorHAnsi"/>
                <w:lang w:val="de-DE"/>
              </w:rPr>
            </w:pPr>
            <w:r w:rsidRPr="00955E99">
              <w:rPr>
                <w:rFonts w:cstheme="minorHAnsi"/>
                <w:lang w:val="de-DE"/>
              </w:rPr>
              <w:tab/>
            </w:r>
            <w:r w:rsidRPr="00955E99">
              <w:rPr>
                <w:rFonts w:cstheme="minorHAnsi"/>
                <w:lang w:val="de-DE"/>
              </w:rPr>
              <w:tab/>
            </w:r>
            <w:r w:rsidR="0047292C" w:rsidRPr="00955E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43A7A" wp14:editId="581F85D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60548</wp:posOffset>
                      </wp:positionV>
                      <wp:extent cx="5715000" cy="0"/>
                      <wp:effectExtent l="0" t="0" r="19050" b="19050"/>
                      <wp:wrapNone/>
                      <wp:docPr id="1" name="Łącznik prostoliniowy 1" descr="linia pozioma ozdobna" title="linia pozioma ozdobn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67B05" id="Łącznik prostoliniowy 1" o:spid="_x0000_s1026" alt="Tytuł: linia pozioma ozdobna — opis: linia pozioma ozdobna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4.75pt" to="455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"/>
                  </w:pict>
                </mc:Fallback>
              </mc:AlternateContent>
            </w:r>
            <w:r w:rsidRPr="00955E99">
              <w:rPr>
                <w:rFonts w:cstheme="minorHAnsi"/>
                <w:lang w:val="de-DE"/>
              </w:rPr>
              <w:tab/>
            </w:r>
          </w:p>
        </w:tc>
      </w:tr>
    </w:tbl>
    <w:p w14:paraId="3D418D5C" w14:textId="77777777" w:rsidR="00312301" w:rsidRDefault="00312301" w:rsidP="00312301">
      <w:pPr>
        <w:spacing w:after="120"/>
      </w:pPr>
      <w:r>
        <w:t>BON-V.5242.2.2021.GB</w:t>
      </w:r>
    </w:p>
    <w:p w14:paraId="16D8E8ED" w14:textId="77777777" w:rsidR="00312301" w:rsidRDefault="00312301" w:rsidP="00312301">
      <w:pPr>
        <w:spacing w:after="120"/>
      </w:pPr>
    </w:p>
    <w:p w14:paraId="1A6C9229" w14:textId="77777777" w:rsidR="00312301" w:rsidRDefault="00312301" w:rsidP="00312301">
      <w:pPr>
        <w:spacing w:after="120"/>
      </w:pPr>
    </w:p>
    <w:p w14:paraId="522FDC00" w14:textId="77777777" w:rsidR="00312301" w:rsidRDefault="00312301" w:rsidP="00312301">
      <w:pPr>
        <w:spacing w:after="120"/>
        <w:jc w:val="center"/>
        <w:rPr>
          <w:b/>
        </w:rPr>
      </w:pPr>
      <w:r>
        <w:rPr>
          <w:b/>
        </w:rPr>
        <w:t xml:space="preserve">Protokół z trzydziestego posiedzenia Zespołu do spraw wykonywania postanowień Konwencji o prawach osób niepełnosprawnych, które odbyło się </w:t>
      </w:r>
      <w:r>
        <w:rPr>
          <w:b/>
        </w:rPr>
        <w:br/>
        <w:t xml:space="preserve">w dniu 21 lipca 2022 r. w MRiPS w formule stacjonarnej </w:t>
      </w:r>
    </w:p>
    <w:p w14:paraId="1117D32E" w14:textId="77777777" w:rsidR="00312301" w:rsidRDefault="00312301" w:rsidP="00312301">
      <w:pPr>
        <w:spacing w:after="120"/>
      </w:pPr>
    </w:p>
    <w:p w14:paraId="5A0D43C2" w14:textId="77777777" w:rsidR="00312301" w:rsidRDefault="00312301" w:rsidP="007D2EB0">
      <w:pPr>
        <w:spacing w:after="120"/>
      </w:pPr>
      <w:r>
        <w:t xml:space="preserve">Trzydzieste posiedzenie Zespołu do spraw wykonywania postanowień Konwencji o prawach osób niepełnosprawnych było poświęcone </w:t>
      </w:r>
      <w:r>
        <w:rPr>
          <w:b/>
        </w:rPr>
        <w:t>poziomowi dostępności w Polsce</w:t>
      </w:r>
      <w:r>
        <w:t>. Posiedzenie odbyło się 21 lipca 2022 roku pod przewodnictwem Pana Ministra Pawła Wdówika.</w:t>
      </w:r>
    </w:p>
    <w:p w14:paraId="49ED3E38" w14:textId="239709DA" w:rsidR="00312301" w:rsidRDefault="00312301" w:rsidP="007D2EB0">
      <w:pPr>
        <w:spacing w:after="120"/>
      </w:pPr>
      <w:r>
        <w:t xml:space="preserve">W posiedzeniu Zespołu oprócz przedstawicieli resortów uczestniczyli zaproszeni goście: przedstawiciele </w:t>
      </w:r>
      <w:r>
        <w:rPr>
          <w:b/>
        </w:rPr>
        <w:t>Państwowego Funduszu Rehabilitacji Osób Niepełnosprawnych</w:t>
      </w:r>
      <w:r>
        <w:t xml:space="preserve"> (PFRON), </w:t>
      </w:r>
      <w:r>
        <w:rPr>
          <w:b/>
        </w:rPr>
        <w:t>Fundacji Instytut Rozwoju Regionalnego</w:t>
      </w:r>
      <w:r>
        <w:t xml:space="preserve"> (FIRR), </w:t>
      </w:r>
      <w:r>
        <w:rPr>
          <w:b/>
        </w:rPr>
        <w:t>Polskiego Forum Osób z</w:t>
      </w:r>
      <w:r w:rsidR="007D2EB0">
        <w:rPr>
          <w:b/>
        </w:rPr>
        <w:t> </w:t>
      </w:r>
      <w:r>
        <w:rPr>
          <w:b/>
        </w:rPr>
        <w:t>Niepełnosprawnościami</w:t>
      </w:r>
      <w:r w:rsidR="00DE59E0">
        <w:t xml:space="preserve"> (PFON</w:t>
      </w:r>
      <w:r>
        <w:t xml:space="preserve">), </w:t>
      </w:r>
      <w:r>
        <w:rPr>
          <w:b/>
        </w:rPr>
        <w:t>Polskiego Stowarzyszenia na rzecz Osób z</w:t>
      </w:r>
      <w:r w:rsidR="007D2EB0">
        <w:rPr>
          <w:b/>
        </w:rPr>
        <w:t> </w:t>
      </w:r>
      <w:r>
        <w:rPr>
          <w:b/>
        </w:rPr>
        <w:t>Niepełnosprawnością Intelektualną</w:t>
      </w:r>
      <w:r>
        <w:t xml:space="preserve"> (PSONI) oraz </w:t>
      </w:r>
      <w:r>
        <w:rPr>
          <w:b/>
        </w:rPr>
        <w:t>Polskiego Związku Głuchych</w:t>
      </w:r>
      <w:r>
        <w:t xml:space="preserve"> (PZG). </w:t>
      </w:r>
    </w:p>
    <w:p w14:paraId="2D78D4E5" w14:textId="77777777" w:rsidR="00312301" w:rsidRDefault="00312301" w:rsidP="007D2EB0">
      <w:pPr>
        <w:spacing w:after="120"/>
      </w:pPr>
      <w:r>
        <w:t xml:space="preserve">Zgodnie z agendą posiedzenia, kolejno zostały przedstawione: informacja na temat </w:t>
      </w:r>
      <w:r>
        <w:rPr>
          <w:b/>
        </w:rPr>
        <w:t>projektu</w:t>
      </w:r>
      <w:r>
        <w:t xml:space="preserve"> </w:t>
      </w:r>
      <w:r>
        <w:rPr>
          <w:b/>
        </w:rPr>
        <w:t>ustawy o dostępności niektórych produktów i usług</w:t>
      </w:r>
      <w:r>
        <w:t xml:space="preserve"> oraz informacja na temat funkcjonowania </w:t>
      </w:r>
      <w:r>
        <w:rPr>
          <w:b/>
        </w:rPr>
        <w:t>ustawy o zapewnianiu dostępności osobom ze szczególnymi potrzebami</w:t>
      </w:r>
      <w:r>
        <w:rPr>
          <w:rStyle w:val="Odwoanieprzypisudolnego"/>
          <w:b/>
        </w:rPr>
        <w:footnoteReference w:id="1"/>
      </w:r>
      <w:r>
        <w:t>, w tym procedury skargowej w przypadku braku dostępności, rozdz. 4 ustawy . Informacje zostały przygotowane przez przedstawicieli Ministerstwa Funduszy i Polityki Regionalnej (MFiPR), zaś informacja w zakresie procedury skargowej przez przedstawicieli PFRON.</w:t>
      </w:r>
    </w:p>
    <w:p w14:paraId="0F8C13E9" w14:textId="7E24D0E6" w:rsidR="00312301" w:rsidRDefault="00312301" w:rsidP="007D2EB0">
      <w:pPr>
        <w:spacing w:after="120"/>
      </w:pPr>
      <w:r>
        <w:t xml:space="preserve">Na początku Pani Dyrektor </w:t>
      </w:r>
      <w:r>
        <w:rPr>
          <w:b/>
        </w:rPr>
        <w:t>Zuzanna Raszkowska (MFiPR)</w:t>
      </w:r>
      <w:r>
        <w:t xml:space="preserve"> przedstawiła informację nt.</w:t>
      </w:r>
      <w:r>
        <w:rPr>
          <w:b/>
        </w:rPr>
        <w:t xml:space="preserve"> projektu ustawy o</w:t>
      </w:r>
      <w:r>
        <w:t> </w:t>
      </w:r>
      <w:r>
        <w:rPr>
          <w:b/>
        </w:rPr>
        <w:t xml:space="preserve">dostępności niektórych produktów i usług, </w:t>
      </w:r>
      <w:r>
        <w:t>polskiej ustawy wdrażającej unijną dyrektywę o dostępności niektórych produktów i usług</w:t>
      </w:r>
      <w:r>
        <w:rPr>
          <w:rStyle w:val="Odwoanieprzypisudolnego"/>
        </w:rPr>
        <w:footnoteReference w:id="2"/>
      </w:r>
      <w:r>
        <w:rPr>
          <w:b/>
        </w:rPr>
        <w:t xml:space="preserve">. </w:t>
      </w:r>
      <w:r>
        <w:rPr>
          <w:rFonts w:ascii="Calibri" w:eastAsiaTheme="minorHAnsi" w:hAnsi="Calibri" w:cs="Calibri"/>
          <w:lang w:eastAsia="en-US"/>
        </w:rPr>
        <w:t xml:space="preserve"> Ma ona na celu wdrożenie w</w:t>
      </w:r>
      <w:r w:rsidR="007D2EB0">
        <w:rPr>
          <w:rFonts w:ascii="Calibri" w:eastAsiaTheme="minorHAnsi" w:hAnsi="Calibri" w:cs="Calibri"/>
          <w:lang w:eastAsia="en-US"/>
        </w:rPr>
        <w:t> </w:t>
      </w:r>
      <w:r>
        <w:rPr>
          <w:rFonts w:ascii="Calibri" w:eastAsiaTheme="minorHAnsi" w:hAnsi="Calibri" w:cs="Calibri"/>
          <w:lang w:eastAsia="en-US"/>
        </w:rPr>
        <w:t>życie art. 9 Konwencji o prawach osób niepełnosprawnych poprzez eliminowanie wykluczenia oraz ujednolicenie praw konsumentów i przepisów konkurencji w Unii Europejskiej. Nowe przepisy mają być korzystne dla konsumentów (osób starszych, niepełnosprawnych, z</w:t>
      </w:r>
      <w:r>
        <w:t> </w:t>
      </w:r>
      <w:r>
        <w:rPr>
          <w:rFonts w:ascii="Calibri" w:eastAsiaTheme="minorHAnsi" w:hAnsi="Calibri" w:cs="Calibri"/>
          <w:lang w:eastAsia="en-US"/>
        </w:rPr>
        <w:t xml:space="preserve">ograniczeniami funkcjonalnymi) i dla producentów/usługodawców, przyczyniając się do poszerzenia rynku zbytu towarów/usług dostępnych oraz osłabienia barier na rynku unijnym. Obowiązki związane z zapewnieniem dostępności, do których </w:t>
      </w:r>
      <w:r>
        <w:rPr>
          <w:rFonts w:ascii="Calibri" w:eastAsiaTheme="minorHAnsi" w:hAnsi="Calibri" w:cs="Calibri"/>
          <w:lang w:eastAsia="en-US"/>
        </w:rPr>
        <w:lastRenderedPageBreak/>
        <w:t>należą wymogi dotyczące cech, elementów, funkcji i wymogi informacyjne, oraz formalne, dotyczące dokumentacji technicznej, oznakowania CE oraz deklaracji zgodności</w:t>
      </w:r>
      <w:r>
        <w:rPr>
          <w:rStyle w:val="Odwoanieprzypisudolnego"/>
          <w:rFonts w:ascii="Calibri" w:eastAsiaTheme="minorHAnsi" w:hAnsi="Calibri" w:cs="Calibri"/>
          <w:lang w:eastAsia="en-US"/>
        </w:rPr>
        <w:footnoteReference w:id="3"/>
      </w:r>
      <w:r>
        <w:t>, mają objąć opisane w ustawie szerokie spektrum produktów i usług. Wszystkie podmioty objęte zakresem ustawy będą miały obowiązek dostarczyć wyłącznie produkty/usługi spełniające wymogi dostępności; wyjątkiem są szczegółowo uzasadnione sytuacje, w których stanowiłoby to nieproporcjonalne obciążenie lub konieczność zasadniczych zmian.</w:t>
      </w:r>
    </w:p>
    <w:p w14:paraId="0BE48666" w14:textId="77777777" w:rsidR="00312301" w:rsidRDefault="00312301" w:rsidP="007D2EB0">
      <w:pPr>
        <w:spacing w:after="120"/>
      </w:pPr>
      <w:r>
        <w:t xml:space="preserve">Do narzędzi zapewniania dostępności będą należały: skarga do podmiotu, zawiadomienie do organu nadzoru rynku lub Prezesa Zarządu PFRON, kontrola organu nadzoru rynku i organów celnych oraz powództwo w sądzie powszechnym. Za złamanie prawa przewidziano sankcje: ograniczenie/zakaz udostępniania produktu, wycofanie z obrotu, zawieszenie/zaprzestanie danej usługi, kara finansowa (dziesięciokrotność przeciętnego wynagrodzenia miesięcznego w gospodarce narodowej). </w:t>
      </w:r>
    </w:p>
    <w:p w14:paraId="5904A5BC" w14:textId="77777777" w:rsidR="00312301" w:rsidRDefault="00312301" w:rsidP="007D2EB0">
      <w:pPr>
        <w:spacing w:after="120"/>
      </w:pPr>
      <w:r>
        <w:t xml:space="preserve">Prace nad ustawą obejmowały konsultacje założeń do ustawy i samego projektu (od grudnia 2019 r.), dwie rundy prekonsultacji międzyresortowych. Od początku 2020 r. odbyły się prekonsultacje z przedsiębiorcami i organizacjami branżowymi, organizacjami społecznymi i ekspertami; nawiązano także stałe, aktywne kontakty z KE. Ustawa w całości implementuje obligatoryjne elementy dyrektywy UE o dostępności niektórych produktów i usług, jest też odpowiedzią na priorytety Strategii na rzecz Osób z Niepełnosprawnościami 2021-2030 (II 3.6 „Zwiększenie dostępności infrastruktury, produktów i usług o charakterze powszechnym oferowanych przez podmioty gospodarcze”) i tworzy spójny system dostępności. </w:t>
      </w:r>
    </w:p>
    <w:p w14:paraId="2256FD5B" w14:textId="77777777" w:rsidR="00312301" w:rsidRDefault="00312301" w:rsidP="007D2EB0">
      <w:pPr>
        <w:spacing w:after="120"/>
      </w:pPr>
      <w:r>
        <w:t xml:space="preserve">Ustawa określa środowisko zbudowane, w ramach którego usługodawca dokonuje oceny i informuje o dostępności pomieszczeń oraz budynków, w których świadczone są jego usługi, w zakresie: </w:t>
      </w:r>
    </w:p>
    <w:p w14:paraId="7E4260A6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>korzystania z powiązanych obszarów i pomieszczeń znajdujących się na zewnątrz;</w:t>
      </w:r>
    </w:p>
    <w:p w14:paraId="5382C347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 xml:space="preserve">dostępu do budynków; </w:t>
      </w:r>
    </w:p>
    <w:p w14:paraId="5A8A681D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 xml:space="preserve">korzystania z wejść; </w:t>
      </w:r>
    </w:p>
    <w:p w14:paraId="0AC8FAE7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 xml:space="preserve">poruszania się w przestrzeni poziomej; </w:t>
      </w:r>
    </w:p>
    <w:p w14:paraId="5B4E25A4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 xml:space="preserve">poruszania się w przestrzeni pionowej; </w:t>
      </w:r>
    </w:p>
    <w:p w14:paraId="6006E77B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>publicznego korzystania z pomieszczeń;</w:t>
      </w:r>
    </w:p>
    <w:p w14:paraId="03EB50E6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>korzystania ze sprzętu i urządzeń wykorzystywanych w świadczeniu usług;</w:t>
      </w:r>
    </w:p>
    <w:p w14:paraId="758B3AA7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 xml:space="preserve">korzystania z toalet i pomieszczeń sanitarnych; </w:t>
      </w:r>
    </w:p>
    <w:p w14:paraId="79561439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 xml:space="preserve">korzystania z wyjść, dróg ewakuacyjnych i planu działań w sytuacjach wyjątkowych; </w:t>
      </w:r>
    </w:p>
    <w:p w14:paraId="7652BCC6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 xml:space="preserve">komunikacji i orientacji przez więcej niż jeden kanał sensoryczny; </w:t>
      </w:r>
    </w:p>
    <w:p w14:paraId="5F20F1B0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 xml:space="preserve">korzystania z pomieszczeń i budynków do ich przewidywanego celu; </w:t>
      </w:r>
    </w:p>
    <w:p w14:paraId="0DE4CD39" w14:textId="77777777" w:rsidR="00312301" w:rsidRDefault="00312301" w:rsidP="007D2EB0">
      <w:pPr>
        <w:pStyle w:val="Akapitzlist"/>
        <w:numPr>
          <w:ilvl w:val="0"/>
          <w:numId w:val="10"/>
        </w:numPr>
        <w:spacing w:after="120"/>
      </w:pPr>
      <w:r>
        <w:t>ochrony przed zagrożeniami wewnątrz i na zewnątrz budynków.</w:t>
      </w:r>
    </w:p>
    <w:p w14:paraId="1DA1C6D8" w14:textId="77777777" w:rsidR="00312301" w:rsidRDefault="00312301" w:rsidP="007D2EB0">
      <w:pPr>
        <w:spacing w:after="120"/>
      </w:pPr>
      <w:r>
        <w:t>Z powodu obecnych ograniczeń nie jest wymagana pełna dostępność.</w:t>
      </w:r>
    </w:p>
    <w:p w14:paraId="62561CB7" w14:textId="2A6BF133" w:rsidR="00312301" w:rsidRDefault="00312301" w:rsidP="007D2EB0">
      <w:pPr>
        <w:spacing w:after="120"/>
      </w:pPr>
      <w:r>
        <w:lastRenderedPageBreak/>
        <w:t>W ramach uzgodnień międzyresortowych, opiniowania i konsultacji publicznych wpłynęło ponad 400 uwag, m. in. od przedsiębiorców, organizacji branżowych i społecznych, ekspertów oraz resortów i urzędów administracji publicznej. Projekt uległ istotnym zmianom; 15 lipca został oddany do ponownych konsultacji, opiniowania i uzgodnień</w:t>
      </w:r>
      <w:r>
        <w:rPr>
          <w:rStyle w:val="Odwoanieprzypisudolnego"/>
        </w:rPr>
        <w:footnoteReference w:id="4"/>
      </w:r>
      <w:r>
        <w:t>. Po rozpatrzeniu uwag z II rundy konsultacji zostanie przekazany na dalsze etapy rządowego procesu legislacyjnego (Komitet ds. Cyfryzacji, Komitet ds. Europejskich, Rada Ministrów), a</w:t>
      </w:r>
      <w:r w:rsidR="007D2EB0">
        <w:t> </w:t>
      </w:r>
      <w:r>
        <w:t>następnie przekazany do Sejmu i Senatu.</w:t>
      </w:r>
    </w:p>
    <w:p w14:paraId="1C9886ED" w14:textId="7FFEC693" w:rsidR="00312301" w:rsidRDefault="00312301" w:rsidP="007D2EB0">
      <w:pPr>
        <w:spacing w:after="120"/>
      </w:pPr>
      <w:r>
        <w:t xml:space="preserve">Bezpośrednio po pierwszej prezentacji rozpoczęła się dyskusja. Pan </w:t>
      </w:r>
      <w:r>
        <w:rPr>
          <w:b/>
        </w:rPr>
        <w:t>Michał Sułkowski</w:t>
      </w:r>
      <w:r w:rsidR="00C54CC2">
        <w:t>, Z</w:t>
      </w:r>
      <w:r>
        <w:t xml:space="preserve">astępca Dyrektora Departamentu Kontroli w Ministerstwie Infrastruktury (MI), zadał pytania o plany w zakresie przygotowania mapy drogowej wdrażania ustawy oraz takie działania jak centralne szkolenia dla koordynatorów wdrażania dostępności. </w:t>
      </w:r>
    </w:p>
    <w:p w14:paraId="227D01E6" w14:textId="77777777" w:rsidR="00312301" w:rsidRDefault="00312301" w:rsidP="007D2EB0">
      <w:pPr>
        <w:spacing w:after="120"/>
      </w:pPr>
      <w:r>
        <w:t xml:space="preserve">W odpowiedzi Pani Dyrektor </w:t>
      </w:r>
      <w:r>
        <w:rPr>
          <w:b/>
        </w:rPr>
        <w:t>Zuzanna Raszkowska</w:t>
      </w:r>
      <w:r>
        <w:t xml:space="preserve"> (MFiPR) potwierdziła zamiar przygotowania mapy drogowej na dalszych etapach prac, jak również innych działań, np. kampanii społecznej. Działania będą kierowane do przedsiębiorców oraz administracji publicznej. Wobec braku dostępnych funduszy krajowych – będą one bazowały na funduszach europejskich.</w:t>
      </w:r>
    </w:p>
    <w:p w14:paraId="30BE9931" w14:textId="3303B985" w:rsidR="00312301" w:rsidRDefault="00312301" w:rsidP="007D2EB0">
      <w:pPr>
        <w:spacing w:after="120"/>
      </w:pPr>
      <w:r>
        <w:t xml:space="preserve">Pan </w:t>
      </w:r>
      <w:r>
        <w:rPr>
          <w:b/>
        </w:rPr>
        <w:t xml:space="preserve">Adam Zawisny </w:t>
      </w:r>
      <w:r>
        <w:t xml:space="preserve">(PSONI) wyraził życzenie, aby wdrażanie ustawy odbywało się w bardziej ambitny i pełny sposób. Zauważył, że wdrażane są tylko elementy obligatoryjne, natomiast nie fakultatywne. Zakres projektu w porównaniu z amerykańskim </w:t>
      </w:r>
      <w:r>
        <w:rPr>
          <w:i/>
        </w:rPr>
        <w:t>Americans with Disabilities Act</w:t>
      </w:r>
      <w:r>
        <w:rPr>
          <w:rStyle w:val="Odwoanieprzypisudolnego"/>
        </w:rPr>
        <w:footnoteReference w:id="5"/>
      </w:r>
      <w:r>
        <w:t>, określił jako zbyt wąski. Wskazał na niski próg kar dla firm za brak dostępności, które nie są uzależnione od obrotów (procent obrotów), tak jak np. kary nakładane w wyniku naruszenia ustawy o ochronie danych osobowych (RODO). . Podał przykłady obszarów, w</w:t>
      </w:r>
      <w:r w:rsidR="007D2EB0">
        <w:t> </w:t>
      </w:r>
      <w:r>
        <w:t>których można by spróbować poszerzyć elementy dostępności, takich jak terminale, zadał pytania o możliwość dodania środowiska zbudowanego oraz o listę organizacji, z którymi konsultowano zapisy projektu ustawy i tryb konsultacji.</w:t>
      </w:r>
    </w:p>
    <w:p w14:paraId="1B07AEF7" w14:textId="77777777" w:rsidR="00312301" w:rsidRDefault="00312301" w:rsidP="007D2EB0">
      <w:r>
        <w:t xml:space="preserve">W odpowiedzi Pani Dyrektor </w:t>
      </w:r>
      <w:r>
        <w:rPr>
          <w:b/>
        </w:rPr>
        <w:t xml:space="preserve">Zuzanna Raszkowska </w:t>
      </w:r>
      <w:r>
        <w:t>(MFiPR) podała informację o konsultacjach publicznych, jakim został poddany projekt ustawy, dostępnych na stronie MFiPR</w:t>
      </w:r>
      <w:r>
        <w:rPr>
          <w:rStyle w:val="Odwoanieprzypisudolnego"/>
        </w:rPr>
        <w:footnoteReference w:id="6"/>
      </w:r>
      <w:r>
        <w:t xml:space="preserve">, oraz zaznaczyła, że były one szersze niż wynika z zakresu wymaganego przez prawo. W konsultacjach brało udział kilkadziesiąt organizacji, a kilkanaście – w opiniowaniu projektu. Odnosząc się do postulatu włączenia środowiska zbudowanego Pani Dyrektor Zuzanna Raszkowska zaznaczyła, że należy wyważyć interesy i możliwości, którymi dysponują podmioty: należy słuchać obu stron. Odnośnie innych elementów dostępności – zauważyła, że w całej Unii Europejskiej transport nie jest jeszcze w pełni gotowy, wszystkie jego gałęzie (transport lądowy, morski, powietrzny) mają ograniczenia – co w szczególności odnosi się do transportu międzynarodowego. W tym kontekście priorytetem będzie wdrożenie już istniejących wymagań, które dla małych przedsiębiorców mogą okazać się poważnym </w:t>
      </w:r>
      <w:r>
        <w:lastRenderedPageBreak/>
        <w:t xml:space="preserve">wyzwaniem. Wskazała również, że istnieją już elementy dostępności, z których można byłoby próbować zbudować system. </w:t>
      </w:r>
    </w:p>
    <w:p w14:paraId="10CFFC1F" w14:textId="408EB597" w:rsidR="00312301" w:rsidRDefault="00312301" w:rsidP="007D2EB0">
      <w:pPr>
        <w:spacing w:after="120"/>
      </w:pPr>
      <w:r>
        <w:t xml:space="preserve">Pan Minister </w:t>
      </w:r>
      <w:r>
        <w:rPr>
          <w:b/>
        </w:rPr>
        <w:t>Paweł Wdówik</w:t>
      </w:r>
      <w:r>
        <w:t xml:space="preserve"> wskazał, że mowa jest nie o grze interesów, ale o gwarancji praw obywatelskich – nawiązując do przykładu </w:t>
      </w:r>
      <w:r>
        <w:rPr>
          <w:i/>
        </w:rPr>
        <w:t>Americans with Disabilites Act</w:t>
      </w:r>
      <w:r>
        <w:t>, przypomniał, że również w USA obowiązywał okres vacatio legis, podczas którego nie wszystkie elementy środowiska spełniały wymogi. Wskazał też, że stan zapewnienia dostępności w Europie spotyka się z krytyczną oceną przedstawicieli administracji amerykańskiej, jak również środowisk europejskich, z czym spotkał się podczas niedawnej wizyty eurodeputowanej do Parlamentu Europejskiego Katrin Langensiepen (Niemcy)</w:t>
      </w:r>
      <w:r>
        <w:rPr>
          <w:rStyle w:val="Odwoanieprzypisudolnego"/>
        </w:rPr>
        <w:footnoteReference w:id="7"/>
      </w:r>
      <w:r>
        <w:t>. Dodał, że zapewnienie dostępności w Polsce wymaga jeszcze wielu działań, ale w ostatnich latach zostało wiele zrobione na rzecz jej zapewnienia. Przytoczył przykład terminali na statkach powietrznych, które będą zwolnione z obowiązku spełniania wymagań dostępności. W szczególności widać to w przypadku systemu samolotów Boeing, który w Polsce nie jest (chociaż mógłby być) dostępny dla osób niewidomych. Obecnie jedynie amerykańscy przewoźnicy spełniają wymogi dostępności.</w:t>
      </w:r>
    </w:p>
    <w:p w14:paraId="1607E231" w14:textId="77777777" w:rsidR="00312301" w:rsidRDefault="00312301" w:rsidP="007D2EB0">
      <w:pPr>
        <w:spacing w:after="120"/>
      </w:pPr>
      <w:r>
        <w:t xml:space="preserve">W dalszej części posiedzenia Zespołu Pan Dyrektor </w:t>
      </w:r>
      <w:r>
        <w:rPr>
          <w:b/>
        </w:rPr>
        <w:t>Przemysław Herman</w:t>
      </w:r>
      <w:r>
        <w:t xml:space="preserve"> (MFiPR) przedstawił</w:t>
      </w:r>
      <w:r>
        <w:rPr>
          <w:b/>
        </w:rPr>
        <w:t xml:space="preserve"> </w:t>
      </w:r>
      <w:r>
        <w:t>informację nt.</w:t>
      </w:r>
      <w:r>
        <w:rPr>
          <w:b/>
        </w:rPr>
        <w:t xml:space="preserve"> funkcjonowania ustawy o zapewnianiu dostępności osobom ze szczególnymi potrzebami i jej wdrażania </w:t>
      </w:r>
      <w:r>
        <w:t>(dalej: ustawy o dostępności). Prezentacja zawierała kalendarium wydarzeń obejmujące ogłoszenie programu Dostępność Plus w (2018 r.), wejście w życie nowych ustaw: o dostępności cyfrowej</w:t>
      </w:r>
      <w:r>
        <w:rPr>
          <w:vertAlign w:val="superscript"/>
        </w:rPr>
        <w:footnoteReference w:id="8"/>
      </w:r>
      <w:r>
        <w:t xml:space="preserve"> oraz ustawy o zapewnianiu dostępności osobom ze szczególnymi potrzebami (2019 r.), obowiązek wyznaczania  koordynatora dostępności, przegląd prawa (2020 r.), wejście w życie przepisów regulujących certyfikację dostępności, procedurę skargi na brak dostępności, zlecanie zadań przez podmioty publiczne (2021 r.) oraz przewidywane na rok 2024 wejście w życie zmienionych przepisów o warunkach technicznych. Następnie zostały zaprezentowane najważniejsze elementy ustawy: </w:t>
      </w:r>
    </w:p>
    <w:p w14:paraId="477D3CBB" w14:textId="77777777" w:rsidR="00312301" w:rsidRDefault="00312301" w:rsidP="007D2EB0">
      <w:pPr>
        <w:spacing w:after="120"/>
      </w:pPr>
      <w:r>
        <w:t xml:space="preserve">- </w:t>
      </w:r>
      <w:r>
        <w:rPr>
          <w:b/>
        </w:rPr>
        <w:t>koordynator ds. dostępności</w:t>
      </w:r>
      <w:r>
        <w:t xml:space="preserve"> (art. 14) – każdy organ władzy publicznej ma obowiązek wyznaczyć co najmniej jedną osobę pełniącą funkcję koordynatora do spraw dostępności. Koordynator powinien być opiekunem dostępności i rzecznikiem rozwiązań na rzecz osób ze szczególnymi potrzebami oraz ułatwiać kontakt i dostęp do usług świadczonych przez dany podmiot publiczny. Ma także monitorować i planować działania w zakresie dostępności.   </w:t>
      </w:r>
    </w:p>
    <w:p w14:paraId="2A8F9DFD" w14:textId="77777777" w:rsidR="00312301" w:rsidRDefault="00312301" w:rsidP="007D2EB0">
      <w:pPr>
        <w:spacing w:after="120"/>
      </w:pPr>
      <w:r>
        <w:t xml:space="preserve">- </w:t>
      </w:r>
      <w:r>
        <w:rPr>
          <w:b/>
        </w:rPr>
        <w:t>dostępność w zamówieniach i zadaniach publicznych</w:t>
      </w:r>
      <w:r>
        <w:t xml:space="preserve"> (art. 4 ust. 3 i art. 5 ust. 2) – polega na sprawdzaniu, czy podmioty realizujące zamówienia/zadania publiczne stosują się do ustawy. Obejmuje również działania wspierające, np. spotkania z Konwentem WRDPP</w:t>
      </w:r>
      <w:r>
        <w:rPr>
          <w:rStyle w:val="Odwoanieprzypisudolnego"/>
        </w:rPr>
        <w:footnoteReference w:id="9"/>
      </w:r>
      <w:r>
        <w:t xml:space="preserve"> czy wyjaśnianie wątpliwości prawnych. </w:t>
      </w:r>
    </w:p>
    <w:p w14:paraId="62ACB465" w14:textId="77777777" w:rsidR="00312301" w:rsidRDefault="00312301" w:rsidP="007D2EB0">
      <w:pPr>
        <w:spacing w:after="120"/>
      </w:pPr>
      <w:r>
        <w:t xml:space="preserve">- </w:t>
      </w:r>
      <w:r>
        <w:rPr>
          <w:b/>
        </w:rPr>
        <w:t>przegląd prawa</w:t>
      </w:r>
      <w:r>
        <w:t xml:space="preserve"> pod kątem zapewnienia dostępności osobom ze szczególnymi potrzebami (art. 56) –  w wyniku przeglądu zostały sporządzone wnioski o wprowadzenie zmian </w:t>
      </w:r>
      <w:r>
        <w:lastRenderedPageBreak/>
        <w:t xml:space="preserve">w przepisach prawa, skierowane do 11 resortów. Do kwietnia 2022 r. otrzymano 7 odpowiedzi. </w:t>
      </w:r>
    </w:p>
    <w:p w14:paraId="16917D75" w14:textId="77777777" w:rsidR="00312301" w:rsidRDefault="00312301" w:rsidP="007D2EB0">
      <w:pPr>
        <w:spacing w:after="120"/>
      </w:pPr>
      <w:r>
        <w:t xml:space="preserve">- </w:t>
      </w:r>
      <w:r>
        <w:rPr>
          <w:b/>
        </w:rPr>
        <w:t>raport o stanie zapewniania dostępności</w:t>
      </w:r>
      <w:r>
        <w:t xml:space="preserve"> (art. 11) – został sporządzony na podstawie ogólnopolskiego badania 57,5 tys. podmiotów publicznych. Poziom dostępności ogółem dla kraju wyniósł 41%. Raport jest dostępny na stronie MFiPR</w:t>
      </w:r>
      <w:r>
        <w:rPr>
          <w:rStyle w:val="Odwoanieprzypisudolnego"/>
        </w:rPr>
        <w:footnoteReference w:id="10"/>
      </w:r>
      <w:r>
        <w:t>. Powstało również 16 raportów wojewódzkich i raporty przekrojowe dla wybranych typów podmiotów publicznych (np. szkół, POZ, sądów, JST).</w:t>
      </w:r>
    </w:p>
    <w:p w14:paraId="6686A128" w14:textId="77777777" w:rsidR="00312301" w:rsidRDefault="00312301" w:rsidP="007D2EB0">
      <w:pPr>
        <w:spacing w:after="120"/>
      </w:pPr>
      <w:r>
        <w:t xml:space="preserve">- </w:t>
      </w:r>
      <w:r>
        <w:rPr>
          <w:b/>
        </w:rPr>
        <w:t>zmiany rozporządzeń w sprawie warunków technicznych</w:t>
      </w:r>
      <w:r>
        <w:t xml:space="preserve"> (art. 66) – do 20 września 2024 r. prawo budowlane ma zostać zmienione pod kątem dostępności dla osób z niepełnosprawnościami przy pomocy  18 nowych rozporządzeń w sprawie warunków technicznych m. in. dla budynków, obiektów budowlanych metra, obiektów i budowli hydrologicznych, przepisów techniczno-budowlanych dotyczących dróg publicznych (termin został wydłużony projektem poselskim).</w:t>
      </w:r>
    </w:p>
    <w:p w14:paraId="55E16973" w14:textId="77777777" w:rsidR="00312301" w:rsidRDefault="00312301" w:rsidP="007D2EB0">
      <w:pPr>
        <w:spacing w:after="120"/>
      </w:pPr>
      <w:r>
        <w:t xml:space="preserve">- </w:t>
      </w:r>
      <w:r>
        <w:rPr>
          <w:b/>
        </w:rPr>
        <w:t>skarga na brak dostępności</w:t>
      </w:r>
      <w:r>
        <w:t xml:space="preserve"> (art. 29-34) – procedura skargowa jest tematem kolejnej prezentacji. </w:t>
      </w:r>
    </w:p>
    <w:p w14:paraId="43974C86" w14:textId="77777777" w:rsidR="00312301" w:rsidRDefault="00312301" w:rsidP="007D2EB0">
      <w:r>
        <w:t xml:space="preserve">- </w:t>
      </w:r>
      <w:r>
        <w:rPr>
          <w:b/>
        </w:rPr>
        <w:t>certyfikacja dostępności</w:t>
      </w:r>
      <w:r>
        <w:t xml:space="preserve"> mająca na celu potwierdzenie, czy podmiot zapewnia dostępność osobom ze szczególnymi potrzebami (art. 15-28) – Dokumentem potwierdzającym spełnianie minimalnych wymagań, jest certyfikat dostępności, wydawany dla konkretnego podmiotu na okres 4 lat od dnia wydania. Certyfikacja obejmuje: 1) weryfikację spełnienia minimalnych wymagań</w:t>
      </w:r>
      <w:r>
        <w:rPr>
          <w:rStyle w:val="Odwoanieprzypisudolnego"/>
        </w:rPr>
        <w:footnoteReference w:id="11"/>
      </w:r>
      <w:r>
        <w:t xml:space="preserve">, przez przeprowadzenie audytu dostępności; 2) sformułowanie szczegółowych zaleceń w zakresie poprawy zapewniania dostępności osobom ze szczególnymi potrzebami przez dany podmiot; 3) wydanie certyfikatu dostępności. </w:t>
      </w:r>
    </w:p>
    <w:p w14:paraId="1E5F922A" w14:textId="77777777" w:rsidR="00312301" w:rsidRDefault="00312301" w:rsidP="007D2EB0">
      <w:pPr>
        <w:spacing w:after="120"/>
      </w:pPr>
      <w:r>
        <w:t>Szczegółowe wymogi dla podmiotów certyfikujących zawarte są w Rozporządzeniu</w:t>
      </w:r>
      <w:r>
        <w:rPr>
          <w:rStyle w:val="Odwoanieprzypisudolnego"/>
        </w:rPr>
        <w:footnoteReference w:id="12"/>
      </w:r>
      <w:r>
        <w:t xml:space="preserve"> przygotowanym na podstawie listy sprawdzające i założeń wypracowanych w okresie od lutego do kwietnia 2020 r. przez Grupę roboczą ds. certyfikacji funkcjonującą przy Radzie Dostępności.  Rozporządzenie zostało ogłoszone w marcu 2021 r. Od października 2021r. do maja 2022r. przygotowano regulamin naboru, wzory dokumentów i przeprowadzono nabór wniosków oraz ich ocenę. Wpłynęło 41 wniosków (z czego 90 % zostało skierowanych do uzupełnienia) z 10 województw. Zespół ds. spraw weryfikacji wniosków podczas 21 posiedzeń ocenił pozytywnie 26 wniosków w wyniku czego wyłoniono 26 podmiotów certyfikujących.</w:t>
      </w:r>
    </w:p>
    <w:p w14:paraId="537714CC" w14:textId="77777777" w:rsidR="00312301" w:rsidRDefault="00312301" w:rsidP="007D2EB0">
      <w:pPr>
        <w:spacing w:after="120"/>
      </w:pPr>
      <w:r>
        <w:t xml:space="preserve">- </w:t>
      </w:r>
      <w:r>
        <w:rPr>
          <w:b/>
        </w:rPr>
        <w:t xml:space="preserve">Fundusz Dostępności </w:t>
      </w:r>
      <w:r>
        <w:t xml:space="preserve">(art. 35-41) – uruchomiony w październiku 2019 r. dla spółdzielni, wspólnot mieszkaniowych i podmiotów publicznych w celu udzielania pożyczek na dostosowanie budynków użyteczności publicznej oraz budynków mieszkalnictwa </w:t>
      </w:r>
      <w:r>
        <w:lastRenderedPageBreak/>
        <w:t>wielorodzinnego do potrzeb osób ze szczególnymi potrzebami. Obsługą Funduszu zajmuje się Bank Gospodarstwa Krajowego. Pierwsza pożyczka została udzielona w lutym 2020 r. Do tej pory złożonych zostało ponad 200 wniosków, zawarto ponad 100 umów na kwotę 65 mln zł. Ukończonych zostało 60 inwestycji dofinansowanych z Funduszu na kwotę ok. 16 mln zł.</w:t>
      </w:r>
    </w:p>
    <w:p w14:paraId="1A65B126" w14:textId="77777777" w:rsidR="00312301" w:rsidRDefault="00312301" w:rsidP="007D2EB0">
      <w:pPr>
        <w:spacing w:after="120"/>
      </w:pPr>
      <w:r>
        <w:t xml:space="preserve">Na zakończenie podano listę narzędzi (poradniki, standardy) wspierających wdrożenie ustawy.  </w:t>
      </w:r>
    </w:p>
    <w:p w14:paraId="4A49CCE1" w14:textId="207B013F" w:rsidR="00312301" w:rsidRDefault="00312301" w:rsidP="007D2EB0">
      <w:pPr>
        <w:spacing w:after="120"/>
        <w:rPr>
          <w:b/>
        </w:rPr>
      </w:pPr>
      <w:r>
        <w:t xml:space="preserve">Następnie Pani </w:t>
      </w:r>
      <w:r>
        <w:rPr>
          <w:b/>
        </w:rPr>
        <w:t>Katarzyna Krysik</w:t>
      </w:r>
      <w:r>
        <w:t xml:space="preserve">, Dyrektor Departamentu ds. Dostępności i </w:t>
      </w:r>
      <w:r>
        <w:rPr>
          <w:b/>
        </w:rPr>
        <w:t>Agnieszka Gołębiowska</w:t>
      </w:r>
      <w:r>
        <w:t>, samodzielny specjalista w Dep. Dostępności (PFRON) zaprezentowały informację nt.</w:t>
      </w:r>
      <w:r>
        <w:rPr>
          <w:b/>
        </w:rPr>
        <w:t xml:space="preserve"> funkcjonowania procedury skargowej w przypadku braku dostępności na podstawie ustawy o zapewnianiu dostępności osobom ze szczególnymi potrzebami.</w:t>
      </w:r>
    </w:p>
    <w:p w14:paraId="0C45B7EC" w14:textId="04DFEDBD" w:rsidR="00312301" w:rsidRDefault="00312301" w:rsidP="007D2EB0">
      <w:pPr>
        <w:spacing w:after="120"/>
      </w:pPr>
      <w:r>
        <w:t>Prezentacja zawierała przypomnienie podstawowych definicji zawartych w ustawie, na podstawie której (art. 3) każdy podmiot publiczny zobowiązany jest do zapewniania obywatelom dostępności. Podano definicje bariery („przeszkoda lub ograniczenie uniemożliwiające lub utrudniające osobom ze szczególnymi potrzebami udział w różnych sferach życia na zasadzie równości z innymi osobami”) oraz osoby ze szczególnymi potrzebami („osoba, która […] musi podjąć dodatkowe działania lub zastosować dodatkowe środki w celu przezwyciężenia bariery, aby uczestniczyć w różnych sferach życia na zasadzie równości”). Następnie przedstawione zostały rodzaje dostępności: architektoniczna (np. budynki wolne od barier), informacyjno-komunikacyjna (np. obsługa z wykorzystaniem środków wspierających, tłumacza) oraz cyfrowa. Kiedy nie jest możliwe zapewnienie dostępności np. ze względów technicznych, dopuszcza się możliwość dostępu alternatywnego, takiego jak wsparcie innej osoby, wsparcie techniczne, w tym z</w:t>
      </w:r>
      <w:r w:rsidR="007D2EB0">
        <w:t> </w:t>
      </w:r>
      <w:r>
        <w:t>wykorzystaniem nowoczesnych technologii, wprowadzenie organizacji podmiotu publicznego umożliwiającej realizację potrzeb osób ze szczególnymi potrzebami, w</w:t>
      </w:r>
      <w:r w:rsidR="007D2EB0">
        <w:t> </w:t>
      </w:r>
      <w:r>
        <w:t>niezbędnym zakresie dla tych osób. Podmiotami podlegającymi ustawie o dostępności są: organy władzy administracji rządowej, wspólnoty samorządowe, jednostki budżetowe i</w:t>
      </w:r>
      <w:r w:rsidR="007D2EB0">
        <w:t> </w:t>
      </w:r>
      <w:r>
        <w:t>samorządowe zakłady budżetowe, ZUS, KRUS, NFZ, uczelnie, instytuty PAN, SP ZOZ, sądy i</w:t>
      </w:r>
      <w:r w:rsidR="007D2EB0">
        <w:t> </w:t>
      </w:r>
      <w:r>
        <w:t>trybunały oraz publiczne instytucje kultury.</w:t>
      </w:r>
    </w:p>
    <w:p w14:paraId="69AD8697" w14:textId="77777777" w:rsidR="00312301" w:rsidRDefault="00312301" w:rsidP="007D2EB0">
      <w:pPr>
        <w:spacing w:after="120"/>
      </w:pPr>
      <w:r>
        <w:t>W dalszej części prezentacji omówiono postępowanie skargowe regulowane przez przepisy art. 29-34 Ustawy, które weszły w życie 6 września 2021 r. Należy zaznaczyć, że procedura skargowa przewiduje możliwość złożenia informacji o braku dostępności. Informację może złożyć każdy obywatel, a podmiot, którego to dotyczy, nie musi odpowiadać ani wprowadzać zmian. Wniosek o zapewnienie dostępności składa do podmiotu osoba ze szczególnymi potrzebami po wykazaniu interesu faktycznego lub jej przedstawiciel ustawowy. Podmiot ma 14 dni (w szczególnych przypadkach - do 2 miesięcy) na zapewnienie dostępności / dostępu alternatywnego. W przypadku braku reakcji (lub odpowiedzi odmownej) - wnioskodawca składa skargę do Prezesa Zarządu PFRON w ciągu 30 dni od terminu zapewnienia dostępności; Prezes nakazuje zapewnienie dostępności lub odmawia, a jego decyzję można zaskarżyć do WSA.</w:t>
      </w:r>
    </w:p>
    <w:p w14:paraId="41112EFD" w14:textId="7E9A5561" w:rsidR="00312301" w:rsidRDefault="00312301" w:rsidP="007D2EB0">
      <w:pPr>
        <w:spacing w:after="120"/>
      </w:pPr>
      <w:r>
        <w:t xml:space="preserve">Od czasu wejścia w życie ustawy (wrzesień 2021 r.) do PFRON wpłynęło 31 skarg  (z czego 27 postępowań zakończono, wydane zostały 2 decyzje nakazujące dostępność oraz 1 </w:t>
      </w:r>
      <w:r>
        <w:lastRenderedPageBreak/>
        <w:t>odmowna). 42% skarg posiadało braki formalne (np. brak wcześniejszego złożenia wniosku o</w:t>
      </w:r>
      <w:r w:rsidR="007D2EB0">
        <w:t> </w:t>
      </w:r>
      <w:r>
        <w:t>zapewnienie dostępności). Większość dotyczyła dostępności architektonicznej (20) i</w:t>
      </w:r>
      <w:r w:rsidR="007D2EB0">
        <w:t> </w:t>
      </w:r>
      <w:r>
        <w:t xml:space="preserve">skarżyła gminy lub powiaty (19). Jako przykład podano skargę na brak dostępności windy dla niepełnosprawnego ucznia szkoły, zakończoną nakazem dobudowania windy. </w:t>
      </w:r>
    </w:p>
    <w:p w14:paraId="4B447B79" w14:textId="77777777" w:rsidR="00312301" w:rsidRDefault="00312301" w:rsidP="007D2EB0">
      <w:pPr>
        <w:spacing w:after="120"/>
      </w:pPr>
      <w:r>
        <w:t>Na końcu opisano działania podejmowane w celu spopularyzowania wiedzy o procedurze skargi na brak dostępności – wzory pism, infolinię PFRON, informacje w mediach społecznościowych, poradniki, broszury, wydarzenia on-line.</w:t>
      </w:r>
    </w:p>
    <w:p w14:paraId="1D41A973" w14:textId="77777777" w:rsidR="00312301" w:rsidRDefault="00312301" w:rsidP="007D2EB0">
      <w:pPr>
        <w:spacing w:after="120"/>
      </w:pPr>
      <w:r>
        <w:t>W dalszej części spotkania miała miejsce dyskusja.</w:t>
      </w:r>
    </w:p>
    <w:p w14:paraId="7B0E681B" w14:textId="77777777" w:rsidR="00312301" w:rsidRDefault="00312301" w:rsidP="007D2EB0">
      <w:pPr>
        <w:spacing w:after="120"/>
      </w:pPr>
      <w:r>
        <w:t xml:space="preserve">Pani </w:t>
      </w:r>
      <w:r>
        <w:rPr>
          <w:b/>
        </w:rPr>
        <w:t>Kajetana Maciejska-Roczan</w:t>
      </w:r>
      <w:r>
        <w:t xml:space="preserve"> (PZG) wyraziła opinię, że jej zdaniem główną przyczyną trudności w korzystaniu z uprawnień przez osoby niepełnosprawne jest stopień komplikacji procedury, a zwłaszcza jej dwuetapowość i konieczność zachowania terminów. Zadała również pytanie o dostępność tłumaczenia dla niesłyszących. Przedstawicielki PFRON wyjaśniły, że film instruktażowy pt. </w:t>
      </w:r>
      <w:r>
        <w:rPr>
          <w:i/>
        </w:rPr>
        <w:t>„Prawo do dostępności - jak korzystać? (Napisy + PJM)”</w:t>
      </w:r>
      <w:r>
        <w:rPr>
          <w:rStyle w:val="Odwoanieprzypisudolnego"/>
        </w:rPr>
        <w:footnoteReference w:id="13"/>
      </w:r>
      <w:r>
        <w:t xml:space="preserve"> jest dostępny na kanale PFRON na platformie YouTube oraz bezpośrednio na stronie PFRON pod adresem: </w:t>
      </w:r>
      <w:hyperlink r:id="rId8" w:history="1">
        <w:r>
          <w:rPr>
            <w:rStyle w:val="Hipercze"/>
          </w:rPr>
          <w:t>https://dostepnosc.pfron.org.pl/proces-skargowy-w-podmiotach-publicznych/jak-zlozyc-wniosek-o-zapewnienie-dostepnosci</w:t>
        </w:r>
      </w:hyperlink>
      <w:r>
        <w:t xml:space="preserve"> .</w:t>
      </w:r>
    </w:p>
    <w:p w14:paraId="72BCD103" w14:textId="11DE6DA1" w:rsidR="00312301" w:rsidRDefault="00312301" w:rsidP="007D2EB0">
      <w:pPr>
        <w:spacing w:after="120"/>
      </w:pPr>
      <w:r>
        <w:t xml:space="preserve">Pan </w:t>
      </w:r>
      <w:r>
        <w:rPr>
          <w:b/>
        </w:rPr>
        <w:t>Adam Zawisny</w:t>
      </w:r>
      <w:r>
        <w:t xml:space="preserve"> (PSONI) krytycznie ocenił projekt polskiej ustawy w porównaniu z</w:t>
      </w:r>
      <w:r w:rsidR="007D2EB0">
        <w:t> </w:t>
      </w:r>
      <w:r>
        <w:t xml:space="preserve">zakresem </w:t>
      </w:r>
      <w:r>
        <w:rPr>
          <w:i/>
        </w:rPr>
        <w:t>Americans with Disabilites Act,</w:t>
      </w:r>
      <w:r>
        <w:t xml:space="preserve"> chociaż stanowi on znaczny krok naprzód w</w:t>
      </w:r>
      <w:r w:rsidR="007D2EB0">
        <w:t> </w:t>
      </w:r>
      <w:r>
        <w:t>zakresie dostępności w Polsce. Oprócz tego zadał pytanie dotyczące interpretacji pojęcia „tekst łatwy do odczytania” (które jest znaczące nie tylko dla niepełnosprawnych, ale także dla obcokrajowców), pytania dotyczące szczegółów przedstawionych postępowań skargowych: jaki termin zapewnienia dostępności został wyznaczony? jaki jest średni termin od skargi do decyzji? Zadał również pytania o plany w zakresie nowelizacji ustawy oraz, posługując się przykładem skargi na brak windy w szkole, pytanie ogólne o reakcję na brak dostępności (niezależnie od przepisów ustawy): czy spełnianie przepisów będzie badane cyklicznie? jakie działania są podejmowane przez PFRON, jeżeli pomimo zgłaszanych problemów dostępności dalej nie ma?</w:t>
      </w:r>
    </w:p>
    <w:p w14:paraId="50AB4E02" w14:textId="7B787D97" w:rsidR="00312301" w:rsidRDefault="00312301" w:rsidP="007D2EB0">
      <w:pPr>
        <w:spacing w:after="120"/>
      </w:pPr>
      <w:r>
        <w:t xml:space="preserve">W odpowiedzi Pani </w:t>
      </w:r>
      <w:r>
        <w:rPr>
          <w:b/>
        </w:rPr>
        <w:t>Agnieszka Gołębiowska</w:t>
      </w:r>
      <w:r>
        <w:t xml:space="preserve"> (PFRON) podała informację, że w przypadku braku windy w jednym z obiektów termin został wyznaczony na 30.10.2023 r. i wynikał on z</w:t>
      </w:r>
      <w:r w:rsidR="007D2EB0">
        <w:t> </w:t>
      </w:r>
      <w:r>
        <w:t>wyjaśnień podmiotu skarżonego (szkoły) nt. procesu budowlanego. Wydanie decyzji nastąpiło w ciągu 5 miesięcy, z uwzględnieniem mediacji, które miały miejsce w tym czasie. Decyzja nie została zaskarżona. Decyzja w sprawie dotyczącej braku dostępności w pojazdach komunikacji publicznej została wydana po 7 miesiącach, przy czym należy zauważyć, że dostępność pojazdów wykracza poza art. 6 (została potraktowana jako art. 4 – dostępność podmiotu publicznego w ramach ciągłej działalności). W ocenie PFRON barierą w korzystaniu z uprawnień wynikających z ustawy nie jest długość procesu, ale jego dwuetapowość i</w:t>
      </w:r>
      <w:r w:rsidR="007D2EB0">
        <w:t> </w:t>
      </w:r>
      <w:r>
        <w:t xml:space="preserve">konieczność dotrzymania terminu na złożenie skargi po złożeniu wniosku i braku odpowiedzi podmiotu na wniosek. </w:t>
      </w:r>
    </w:p>
    <w:p w14:paraId="56DC8E8C" w14:textId="77777777" w:rsidR="00312301" w:rsidRDefault="00312301" w:rsidP="007D2EB0">
      <w:pPr>
        <w:spacing w:after="120"/>
      </w:pPr>
      <w:r>
        <w:lastRenderedPageBreak/>
        <w:t xml:space="preserve">Dodatkowo Pan Dyrektor </w:t>
      </w:r>
      <w:r>
        <w:rPr>
          <w:b/>
        </w:rPr>
        <w:t>Przemysław Herman</w:t>
      </w:r>
      <w:r>
        <w:t xml:space="preserve"> (MFiPR) podał informację o wynikach rozpoznania ilości wniosków wśród koordynatorów dostępności: żaden z koordynatorów nie miał wiedzy o zgłoszeniu wniosku. Można stąd wnioskować, że problemem jest brak świadomości możliwości złożenia skargi oraz procesu skargowego - popularyzacja tej wiedzy mogłaby się przyczynić do poprawy sytuacji. Odnosząc się do pytań o weryfikację ustawy – zauważył, że taka możliwość istnieje, a w kontekście długości procesu zwrócił uwagę, że do tej pory podmioty publiczne nie były rozliczane z zapewnienia dostępności, natomiast ustawa wprowadziła taki obowiązek.</w:t>
      </w:r>
    </w:p>
    <w:p w14:paraId="6655794F" w14:textId="77777777" w:rsidR="00312301" w:rsidRDefault="00312301" w:rsidP="007D2EB0">
      <w:pPr>
        <w:spacing w:after="120"/>
      </w:pPr>
      <w:r>
        <w:t xml:space="preserve">Pani </w:t>
      </w:r>
      <w:r>
        <w:rPr>
          <w:b/>
        </w:rPr>
        <w:t>Kajetana Maciejska-Roczan</w:t>
      </w:r>
      <w:r>
        <w:t xml:space="preserve"> (PZG) odniosła się do postulatu Pana Adama Zawisnego (PSONI), wspominając o różnicach w interpretacji pojęcia „język prosty” oraz dzieląc się obserwacjami z pracy w komisjach egzaminacyjnych: długie zdania powodują dodatkowe trudności (oprócz tych wynikających z niepełnosprawności) ze zrozumieniem treści poleceń do zadań. </w:t>
      </w:r>
    </w:p>
    <w:p w14:paraId="781BAD7A" w14:textId="0634B42B" w:rsidR="00312301" w:rsidRDefault="00312301" w:rsidP="007D2EB0">
      <w:pPr>
        <w:spacing w:after="120"/>
      </w:pPr>
      <w:r>
        <w:t xml:space="preserve">Pan </w:t>
      </w:r>
      <w:r>
        <w:rPr>
          <w:b/>
        </w:rPr>
        <w:t>Adam Zawisny</w:t>
      </w:r>
      <w:r>
        <w:t xml:space="preserve"> (PSONI) zwrócił uwagę na potrzebę doprecyzowania terminów: </w:t>
      </w:r>
      <w:r>
        <w:rPr>
          <w:b/>
          <w:i/>
        </w:rPr>
        <w:t>easy read</w:t>
      </w:r>
      <w:r>
        <w:rPr>
          <w:rStyle w:val="Odwoanieprzypisudolnego"/>
          <w:b/>
          <w:i/>
        </w:rPr>
        <w:footnoteReference w:id="14"/>
      </w:r>
      <w:r>
        <w:t xml:space="preserve"> oraz </w:t>
      </w:r>
      <w:r>
        <w:rPr>
          <w:b/>
          <w:i/>
        </w:rPr>
        <w:t>języka prostego</w:t>
      </w:r>
      <w:r>
        <w:rPr>
          <w:rStyle w:val="Odwoanieprzypisudolnego"/>
          <w:b/>
          <w:i/>
        </w:rPr>
        <w:footnoteReference w:id="15"/>
      </w:r>
      <w:r>
        <w:t>. W zakresie tego drugiego zagadnienia wyraził uznanie dla dokonań ZUS oraz KPRM. Zadał również pytanie o możliwości zobowiązania podmiotów publicznych w większym stopniu do używania języka prostego zamiast języka urzędniczego oraz podniósł kwestię poradnika do wdrażania ustawy o dostępności dla osób z</w:t>
      </w:r>
      <w:r w:rsidR="007D2EB0">
        <w:t> </w:t>
      </w:r>
      <w:r>
        <w:t>niepełnosprawnością intelektualną i chorobami psychicznymi.</w:t>
      </w:r>
    </w:p>
    <w:p w14:paraId="58DB2318" w14:textId="77777777" w:rsidR="00312301" w:rsidRDefault="00312301" w:rsidP="007D2EB0">
      <w:pPr>
        <w:spacing w:after="120"/>
      </w:pPr>
      <w:r>
        <w:t xml:space="preserve">W odpowiedzi Pan </w:t>
      </w:r>
      <w:r>
        <w:rPr>
          <w:b/>
        </w:rPr>
        <w:t>Przemysław Herman</w:t>
      </w:r>
      <w:r>
        <w:t xml:space="preserve"> (MFiPR) wspomniał, że próba wprowadzenia wytycznych języka prostego do ustawodawstwa do tej pory nie przyniosła rezultatów.</w:t>
      </w:r>
    </w:p>
    <w:p w14:paraId="69DE40A2" w14:textId="77777777" w:rsidR="00312301" w:rsidRDefault="00312301" w:rsidP="007D2EB0">
      <w:pPr>
        <w:spacing w:after="120"/>
      </w:pPr>
      <w:r>
        <w:t xml:space="preserve">Pani </w:t>
      </w:r>
      <w:r>
        <w:rPr>
          <w:b/>
        </w:rPr>
        <w:t>Anna Iwańczyk</w:t>
      </w:r>
      <w:r>
        <w:t xml:space="preserve">, Naczelnik Wydziału Analiz i Współpracy Międzynarodowej w Biurze Pełnomocnika Rządu ds. Osób Niepełnosprawnych, zaproponowała rozpowszechnianie informacji o procedurze skargowej poprzez umieszczenie odnośników do materiałów PFRON na stronach internetowych Biura Pełnomocnika Rządu do Spraw Osób Niepełnosprawnych MRiPS, innych ministerstw i urzędów wojewódzkich. </w:t>
      </w:r>
    </w:p>
    <w:p w14:paraId="0E627CCB" w14:textId="77777777" w:rsidR="00312301" w:rsidRDefault="00312301" w:rsidP="00312301">
      <w:pPr>
        <w:spacing w:after="120"/>
      </w:pPr>
    </w:p>
    <w:p w14:paraId="735A2779" w14:textId="77777777" w:rsidR="00312301" w:rsidRDefault="00312301" w:rsidP="00312301">
      <w:pPr>
        <w:spacing w:after="120"/>
        <w:ind w:left="1837" w:firstLine="3827"/>
        <w:rPr>
          <w:i/>
        </w:rPr>
      </w:pPr>
      <w:r>
        <w:rPr>
          <w:i/>
        </w:rPr>
        <w:t xml:space="preserve"> Paweł Wdówik</w:t>
      </w:r>
    </w:p>
    <w:p w14:paraId="64A941D8" w14:textId="77777777" w:rsidR="00312301" w:rsidRDefault="00312301" w:rsidP="00312301">
      <w:pPr>
        <w:spacing w:after="120"/>
        <w:ind w:firstLine="3827"/>
        <w:jc w:val="center"/>
      </w:pPr>
      <w:r>
        <w:t>Przewodniczący Zespołu</w:t>
      </w:r>
    </w:p>
    <w:p w14:paraId="4C4FE318" w14:textId="77777777" w:rsidR="00312301" w:rsidRDefault="00312301" w:rsidP="00312301">
      <w:pPr>
        <w:spacing w:after="120"/>
        <w:ind w:firstLine="3827"/>
        <w:jc w:val="center"/>
      </w:pPr>
      <w:r>
        <w:t>Pełnomocnika Rządu do Spraw</w:t>
      </w:r>
    </w:p>
    <w:p w14:paraId="2FC7F194" w14:textId="77777777" w:rsidR="00312301" w:rsidRDefault="00312301" w:rsidP="00312301">
      <w:pPr>
        <w:spacing w:after="120"/>
        <w:ind w:firstLine="3827"/>
        <w:jc w:val="center"/>
      </w:pPr>
      <w:r>
        <w:t>Osób Niepełnosprawnych</w:t>
      </w:r>
    </w:p>
    <w:p w14:paraId="248B76C9" w14:textId="77777777" w:rsidR="00312301" w:rsidRDefault="00312301" w:rsidP="00312301">
      <w:pPr>
        <w:spacing w:after="120"/>
      </w:pPr>
    </w:p>
    <w:p w14:paraId="1558C374" w14:textId="77777777" w:rsidR="00312301" w:rsidRDefault="00312301" w:rsidP="00312301">
      <w:pPr>
        <w:spacing w:after="120"/>
        <w:jc w:val="both"/>
        <w:rPr>
          <w:b/>
          <w:u w:val="single"/>
        </w:rPr>
      </w:pPr>
    </w:p>
    <w:p w14:paraId="094F0918" w14:textId="77777777" w:rsidR="00312301" w:rsidRDefault="00312301" w:rsidP="00312301">
      <w:pPr>
        <w:spacing w:after="120"/>
        <w:rPr>
          <w:b/>
          <w:u w:val="single"/>
        </w:rPr>
      </w:pPr>
      <w:r>
        <w:rPr>
          <w:b/>
          <w:u w:val="single"/>
        </w:rPr>
        <w:t xml:space="preserve">Załączniki: </w:t>
      </w:r>
    </w:p>
    <w:p w14:paraId="381C89ED" w14:textId="77777777" w:rsidR="00312301" w:rsidRDefault="00312301" w:rsidP="00312301">
      <w:pPr>
        <w:pStyle w:val="Akapitzlist"/>
        <w:numPr>
          <w:ilvl w:val="0"/>
          <w:numId w:val="11"/>
        </w:numPr>
        <w:spacing w:after="120"/>
        <w:jc w:val="both"/>
      </w:pPr>
      <w:r>
        <w:t>Agenda posiedzenia</w:t>
      </w:r>
    </w:p>
    <w:p w14:paraId="39E42962" w14:textId="77777777" w:rsidR="00312301" w:rsidRDefault="00312301" w:rsidP="007D2EB0">
      <w:pPr>
        <w:pStyle w:val="Akapitzlist"/>
        <w:numPr>
          <w:ilvl w:val="0"/>
          <w:numId w:val="11"/>
        </w:numPr>
        <w:spacing w:after="120"/>
      </w:pPr>
      <w:r>
        <w:t>Prezentacja nt. projektu ustawy o dostępności niektórych produktów i usług – MFiPR</w:t>
      </w:r>
    </w:p>
    <w:p w14:paraId="011457BE" w14:textId="77777777" w:rsidR="00312301" w:rsidRDefault="00312301" w:rsidP="007D2EB0">
      <w:pPr>
        <w:pStyle w:val="Akapitzlist"/>
        <w:numPr>
          <w:ilvl w:val="0"/>
          <w:numId w:val="11"/>
        </w:numPr>
        <w:spacing w:after="120"/>
      </w:pPr>
      <w:r>
        <w:t>Prezentacja nt. funkcjonowania ustawy o zapewnianiu dostępności osobom ze szczególnymi potrzebami i jej wdrażania - MFiPR</w:t>
      </w:r>
    </w:p>
    <w:p w14:paraId="0476BDEA" w14:textId="77777777" w:rsidR="00312301" w:rsidRDefault="00312301" w:rsidP="007D2EB0">
      <w:pPr>
        <w:pStyle w:val="Akapitzlist"/>
        <w:numPr>
          <w:ilvl w:val="0"/>
          <w:numId w:val="11"/>
        </w:numPr>
        <w:spacing w:after="120"/>
      </w:pPr>
      <w:r>
        <w:t>Prezentacja nt. funkcjonowania procedury skargowej w przypadku braku dostępności na podstawie ustawy o zapewnianiu dostępności osobom ze szczególnymi potrzebami - PFRON</w:t>
      </w:r>
    </w:p>
    <w:p w14:paraId="76314CFC" w14:textId="37711750" w:rsidR="00D931B5" w:rsidRPr="00673D43" w:rsidRDefault="00D931B5" w:rsidP="00312301">
      <w:pPr>
        <w:spacing w:after="120"/>
      </w:pPr>
    </w:p>
    <w:sectPr w:rsidR="00D931B5" w:rsidRPr="00673D43" w:rsidSect="001E0E3E">
      <w:footerReference w:type="default" r:id="rId9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8962D" w14:textId="77777777" w:rsidR="00F03C0C" w:rsidRDefault="00F03C0C" w:rsidP="0047292C">
      <w:r>
        <w:separator/>
      </w:r>
    </w:p>
  </w:endnote>
  <w:endnote w:type="continuationSeparator" w:id="0">
    <w:p w14:paraId="7DEA9634" w14:textId="77777777" w:rsidR="00F03C0C" w:rsidRDefault="00F03C0C" w:rsidP="0047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116489"/>
      <w:docPartObj>
        <w:docPartGallery w:val="Page Numbers (Bottom of Page)"/>
        <w:docPartUnique/>
      </w:docPartObj>
    </w:sdtPr>
    <w:sdtEndPr/>
    <w:sdtContent>
      <w:p w14:paraId="2BBD2F19" w14:textId="7649011D" w:rsidR="005776C8" w:rsidRDefault="005776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51">
          <w:rPr>
            <w:noProof/>
          </w:rPr>
          <w:t>1</w:t>
        </w:r>
        <w:r>
          <w:fldChar w:fldCharType="end"/>
        </w:r>
      </w:p>
    </w:sdtContent>
  </w:sdt>
  <w:p w14:paraId="43C0F3E1" w14:textId="77777777" w:rsidR="005776C8" w:rsidRDefault="005776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A2A61" w14:textId="77777777" w:rsidR="00F03C0C" w:rsidRDefault="00F03C0C" w:rsidP="0047292C">
      <w:r>
        <w:separator/>
      </w:r>
    </w:p>
  </w:footnote>
  <w:footnote w:type="continuationSeparator" w:id="0">
    <w:p w14:paraId="03726E15" w14:textId="77777777" w:rsidR="00F03C0C" w:rsidRDefault="00F03C0C" w:rsidP="0047292C">
      <w:r>
        <w:continuationSeparator/>
      </w:r>
    </w:p>
  </w:footnote>
  <w:footnote w:id="1">
    <w:p w14:paraId="5A605BBA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Ustawa z 19 lipca 2019 r. o zapewnianiu dostępności osobom ze szczególnymi potrzebami (Dz. U. z 2020 r. poz. 1062)</w:t>
      </w:r>
    </w:p>
  </w:footnote>
  <w:footnote w:id="2">
    <w:p w14:paraId="3DABC9DE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Dyrektywa Parlamentu Europejskiego i Rady (UE) 2019/882 ws. wymogów dostępności produktów i usług.</w:t>
      </w:r>
    </w:p>
  </w:footnote>
  <w:footnote w:id="3">
    <w:p w14:paraId="026C1555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oznakowanie CE (Conformité Européenne) umieszczone na wyrobie jest deklaracją producenta, że oznakowany wyrób spełnia wymagania dyrektyw tzw. „Nowego Podejścia” Unii Europejskiej (UE). Dyrektywy te dotyczą zagadnień związanych z bezpieczeństwem użytkowania, ochroną zdrowia i ochroną środowiska, określają zagrożenia, które producent powinien wykryć i wyeliminować. Producent oznaczając swój wyrób znakiem CE deklaruje, że wyrób ten spełnia wymagania wszystkich odnoszących się do niego dyrektyw.</w:t>
      </w:r>
    </w:p>
  </w:footnote>
  <w:footnote w:id="4">
    <w:p w14:paraId="077AFC87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https://legislacja.gov.pl/docs//2/12358257/12865990/12865992/dokument565790.pdf</w:t>
        </w:r>
      </w:hyperlink>
      <w:r>
        <w:t xml:space="preserve"> </w:t>
      </w:r>
    </w:p>
  </w:footnote>
  <w:footnote w:id="5">
    <w:p w14:paraId="143685B0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Ustawa o Niepełnosprawnych Amerykanach z 1990 r. (Americans with Disabilities Act, w skrócie ADA)</w:t>
      </w:r>
    </w:p>
  </w:footnote>
  <w:footnote w:id="6">
    <w:p w14:paraId="0AB375B7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>
          <w:rPr>
            <w:rStyle w:val="Hipercze"/>
          </w:rPr>
          <w:t>https://www.gov.pl/web/fundusze-regiony/konsultacje-projektu-ustawy-o-dostepnosci-niektorych-produktow-i-uslug--czekamy-na-twoj-glos</w:t>
        </w:r>
      </w:hyperlink>
      <w:r>
        <w:t xml:space="preserve"> </w:t>
      </w:r>
    </w:p>
  </w:footnote>
  <w:footnote w:id="7">
    <w:p w14:paraId="21B7AE55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Pani Langensiepen jest członkiem Intergrupy Parlamentu Europejskiego ds. Niepełnosprawności. W tym roku odwiedza kraje członkowskie UE celem zbadania w jaki sposób osoby niepełnosprawne są wspierane przez państwa, aby ocenić jakie narzędzia pomocowe z ramienia Unii należałoby jeszcze wdrożyć w tym zakresie.</w:t>
      </w:r>
    </w:p>
  </w:footnote>
  <w:footnote w:id="8">
    <w:p w14:paraId="1EA7C198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4 kwietnia 2019 r. o dostępności cyfrowej stron internetowych i aplikacji mobilnych podmiotów publicznych (Dz. U. 2019 poz. 848)</w:t>
      </w:r>
    </w:p>
  </w:footnote>
  <w:footnote w:id="9">
    <w:p w14:paraId="24BAA3B9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Konwent WRDPP jest dobrowolnym porozumieniem Wojewódzkich Rad Działalności Pożytku Publicznego.</w:t>
      </w:r>
    </w:p>
  </w:footnote>
  <w:footnote w:id="10">
    <w:p w14:paraId="2727B495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„Raport o stanie zapewniania dostępności osobom ze szczególnymi potrzebami przez podmioty publiczne w Polsce według stanu na 1 stycznia 2021 r.” </w:t>
      </w:r>
      <w:hyperlink r:id="rId3" w:history="1">
        <w:r>
          <w:rPr>
            <w:rStyle w:val="Hipercze"/>
          </w:rPr>
          <w:t>https://www.gov.pl/web/fundusze-regiony/raport-o-dostepnosci-podmiotow-publicznych</w:t>
        </w:r>
      </w:hyperlink>
      <w:r>
        <w:t xml:space="preserve"> </w:t>
      </w:r>
    </w:p>
  </w:footnote>
  <w:footnote w:id="11">
    <w:p w14:paraId="39477515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Minimalne wymagania służące zapewnieniu dostępności osobom ze szczególnymi potrzebami, o których mowa w art. 6, obejmują: dostępność architektoniczną, cyfrową, informacyjno-komunikacyjną.</w:t>
      </w:r>
    </w:p>
  </w:footnote>
  <w:footnote w:id="12">
    <w:p w14:paraId="05638AA0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Ministra Finansów, Funduszy i Polityki Regionalnej z dnia 4 marca 2021 r. w sprawie szczegółowych wymogów, jakie muszą spełniać podmioty dokonujące certyfikacji dostępności, wzoru wniosku o wydanie certyfikatu dostępności oraz wzoru certyfikatu dostępności </w:t>
      </w:r>
    </w:p>
  </w:footnote>
  <w:footnote w:id="13">
    <w:p w14:paraId="56C9CBC7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„Prawo do dostępności - jak korzystać? (Napisy + PJM)”</w:t>
      </w:r>
      <w:r>
        <w:t xml:space="preserve"> </w:t>
      </w:r>
      <w:hyperlink r:id="rId4" w:history="1">
        <w:r>
          <w:rPr>
            <w:rStyle w:val="Hipercze"/>
          </w:rPr>
          <w:t>https://www.youtube.com/watch?v=mDzaHRCkldM</w:t>
        </w:r>
      </w:hyperlink>
      <w:r>
        <w:t xml:space="preserve"> (dostępny od dnia 11 lipca 2022r.)</w:t>
      </w:r>
    </w:p>
  </w:footnote>
  <w:footnote w:id="14">
    <w:p w14:paraId="169B7F37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Tekst łatwy do czytania i zrozumienia (ang. </w:t>
      </w:r>
      <w:r>
        <w:rPr>
          <w:i/>
        </w:rPr>
        <w:t>easy to read and understand</w:t>
      </w:r>
      <w:r>
        <w:t xml:space="preserve">, używany skrót: ETR) to sposób opracowania informacji przeznaczonej dla osób z niepełnosprawnością intelektualną lub mających problemy z czytaniem i rozumieniem, obejmujący zarówno dobór słów, sposób formułowania zdań, jak i kompozycję tekstu, rodzaj i rozmiar użytej czcionki, użycie odpowiednich ilustracji lub symboli. Źródło: </w:t>
      </w:r>
      <w:hyperlink r:id="rId5" w:history="1">
        <w:r>
          <w:rPr>
            <w:rStyle w:val="Hipercze"/>
          </w:rPr>
          <w:t>https://zpe.gov.pl/pdf/P17Ib7LYC</w:t>
        </w:r>
      </w:hyperlink>
      <w:r>
        <w:t xml:space="preserve"> </w:t>
      </w:r>
    </w:p>
  </w:footnote>
  <w:footnote w:id="15">
    <w:p w14:paraId="666C265D" w14:textId="77777777" w:rsidR="00312301" w:rsidRDefault="00312301" w:rsidP="00312301">
      <w:pPr>
        <w:pStyle w:val="Tekstprzypisudolnego"/>
      </w:pPr>
      <w:r>
        <w:rPr>
          <w:rStyle w:val="Odwoanieprzypisudolnego"/>
        </w:rPr>
        <w:footnoteRef/>
      </w:r>
      <w:r>
        <w:t xml:space="preserve"> Prosty język to styl pisania tekstów urzędowych i firmowych, które mają trafić do masowego odbiorcy. Taki sposób pisania zalecają na całym świecie eksperci i zwolennicy idei upraszczania komunikacji publicznej. Prosty język sprawia, że tekst czytamy szybko (w swoim naturalnym tempie) i więcej z niego zapamiętujemy. Źródło: </w:t>
      </w:r>
      <w:hyperlink r:id="rId6" w:history="1">
        <w:r>
          <w:rPr>
            <w:rStyle w:val="Hipercze"/>
          </w:rPr>
          <w:t>https://www.gov.pl/web/sluzbacywilna/prosty-jezyk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7F4"/>
    <w:multiLevelType w:val="hybridMultilevel"/>
    <w:tmpl w:val="8686312C"/>
    <w:lvl w:ilvl="0" w:tplc="9F8AF3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9DF"/>
    <w:multiLevelType w:val="hybridMultilevel"/>
    <w:tmpl w:val="27568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31D"/>
    <w:multiLevelType w:val="hybridMultilevel"/>
    <w:tmpl w:val="7182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1F9"/>
    <w:multiLevelType w:val="hybridMultilevel"/>
    <w:tmpl w:val="693EF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A46482"/>
    <w:multiLevelType w:val="hybridMultilevel"/>
    <w:tmpl w:val="0FF0A6D2"/>
    <w:lvl w:ilvl="0" w:tplc="362A3C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F57C3"/>
    <w:multiLevelType w:val="hybridMultilevel"/>
    <w:tmpl w:val="A1DAC0A8"/>
    <w:lvl w:ilvl="0" w:tplc="8FB6BD0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74808"/>
    <w:multiLevelType w:val="hybridMultilevel"/>
    <w:tmpl w:val="AF8AD11E"/>
    <w:lvl w:ilvl="0" w:tplc="7BEEE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763888"/>
    <w:multiLevelType w:val="hybridMultilevel"/>
    <w:tmpl w:val="F0601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2387E"/>
    <w:multiLevelType w:val="hybridMultilevel"/>
    <w:tmpl w:val="F44EE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2C"/>
    <w:rsid w:val="00001B1C"/>
    <w:rsid w:val="00002CAD"/>
    <w:rsid w:val="00002EBB"/>
    <w:rsid w:val="00005C33"/>
    <w:rsid w:val="00005D8F"/>
    <w:rsid w:val="000226E3"/>
    <w:rsid w:val="00022BD8"/>
    <w:rsid w:val="000246FA"/>
    <w:rsid w:val="00025B2F"/>
    <w:rsid w:val="0002663C"/>
    <w:rsid w:val="0002753C"/>
    <w:rsid w:val="00030AB0"/>
    <w:rsid w:val="00030CA4"/>
    <w:rsid w:val="0003165A"/>
    <w:rsid w:val="00036B96"/>
    <w:rsid w:val="0004546E"/>
    <w:rsid w:val="00047641"/>
    <w:rsid w:val="00056C48"/>
    <w:rsid w:val="00060980"/>
    <w:rsid w:val="00061A52"/>
    <w:rsid w:val="000651C9"/>
    <w:rsid w:val="00074FAD"/>
    <w:rsid w:val="00076F51"/>
    <w:rsid w:val="000807F7"/>
    <w:rsid w:val="00082B1A"/>
    <w:rsid w:val="00086D11"/>
    <w:rsid w:val="000877CB"/>
    <w:rsid w:val="00092FC4"/>
    <w:rsid w:val="000A5C88"/>
    <w:rsid w:val="000B5589"/>
    <w:rsid w:val="000B60A4"/>
    <w:rsid w:val="000B6925"/>
    <w:rsid w:val="000C52DB"/>
    <w:rsid w:val="000D0DE2"/>
    <w:rsid w:val="000D57AD"/>
    <w:rsid w:val="000D6DB4"/>
    <w:rsid w:val="000D775D"/>
    <w:rsid w:val="000E0829"/>
    <w:rsid w:val="000E1BB0"/>
    <w:rsid w:val="000E3E86"/>
    <w:rsid w:val="000E6394"/>
    <w:rsid w:val="000F1439"/>
    <w:rsid w:val="000F2B34"/>
    <w:rsid w:val="000F7CB4"/>
    <w:rsid w:val="00113C88"/>
    <w:rsid w:val="00114F41"/>
    <w:rsid w:val="00121E93"/>
    <w:rsid w:val="001272DC"/>
    <w:rsid w:val="00134F3C"/>
    <w:rsid w:val="00136FE5"/>
    <w:rsid w:val="001424E3"/>
    <w:rsid w:val="001474A3"/>
    <w:rsid w:val="00150E56"/>
    <w:rsid w:val="00153615"/>
    <w:rsid w:val="00161257"/>
    <w:rsid w:val="0016243D"/>
    <w:rsid w:val="00162DA2"/>
    <w:rsid w:val="00165CAB"/>
    <w:rsid w:val="0016614F"/>
    <w:rsid w:val="00173940"/>
    <w:rsid w:val="00181993"/>
    <w:rsid w:val="00182CB4"/>
    <w:rsid w:val="001867C1"/>
    <w:rsid w:val="00186EC0"/>
    <w:rsid w:val="001876DE"/>
    <w:rsid w:val="001876E7"/>
    <w:rsid w:val="0019187B"/>
    <w:rsid w:val="001924F4"/>
    <w:rsid w:val="00197FEB"/>
    <w:rsid w:val="001A0DB6"/>
    <w:rsid w:val="001B0FE9"/>
    <w:rsid w:val="001B1E0D"/>
    <w:rsid w:val="001B7F3D"/>
    <w:rsid w:val="001C1585"/>
    <w:rsid w:val="001C1D31"/>
    <w:rsid w:val="001C282B"/>
    <w:rsid w:val="001C3117"/>
    <w:rsid w:val="001C661E"/>
    <w:rsid w:val="001D13A5"/>
    <w:rsid w:val="001D2AA0"/>
    <w:rsid w:val="001D79B4"/>
    <w:rsid w:val="001E0E3E"/>
    <w:rsid w:val="001E38D5"/>
    <w:rsid w:val="001E3F67"/>
    <w:rsid w:val="001E4BD1"/>
    <w:rsid w:val="001E4F24"/>
    <w:rsid w:val="001F1010"/>
    <w:rsid w:val="001F20BD"/>
    <w:rsid w:val="0020065B"/>
    <w:rsid w:val="00205553"/>
    <w:rsid w:val="0020558B"/>
    <w:rsid w:val="00205E01"/>
    <w:rsid w:val="0020610F"/>
    <w:rsid w:val="002064BA"/>
    <w:rsid w:val="00206898"/>
    <w:rsid w:val="00210B9F"/>
    <w:rsid w:val="00213007"/>
    <w:rsid w:val="00221130"/>
    <w:rsid w:val="00230E19"/>
    <w:rsid w:val="00242BAB"/>
    <w:rsid w:val="00250953"/>
    <w:rsid w:val="002509AA"/>
    <w:rsid w:val="00251987"/>
    <w:rsid w:val="00252CAA"/>
    <w:rsid w:val="00261B5F"/>
    <w:rsid w:val="002621FC"/>
    <w:rsid w:val="00266B4A"/>
    <w:rsid w:val="00266E5E"/>
    <w:rsid w:val="00272C7F"/>
    <w:rsid w:val="00274FA2"/>
    <w:rsid w:val="00275EB1"/>
    <w:rsid w:val="00277666"/>
    <w:rsid w:val="00281081"/>
    <w:rsid w:val="00291B76"/>
    <w:rsid w:val="002943A4"/>
    <w:rsid w:val="00295DFF"/>
    <w:rsid w:val="00296213"/>
    <w:rsid w:val="002966F1"/>
    <w:rsid w:val="002A277E"/>
    <w:rsid w:val="002A589C"/>
    <w:rsid w:val="002A59D6"/>
    <w:rsid w:val="002B65E9"/>
    <w:rsid w:val="002C0232"/>
    <w:rsid w:val="002C0FD2"/>
    <w:rsid w:val="002C1D51"/>
    <w:rsid w:val="002C40CC"/>
    <w:rsid w:val="002D2DCB"/>
    <w:rsid w:val="002D63FE"/>
    <w:rsid w:val="002E1A5B"/>
    <w:rsid w:val="002E6558"/>
    <w:rsid w:val="002F0F72"/>
    <w:rsid w:val="002F5A30"/>
    <w:rsid w:val="002F66DE"/>
    <w:rsid w:val="002F6E7E"/>
    <w:rsid w:val="0030682F"/>
    <w:rsid w:val="00307A66"/>
    <w:rsid w:val="0031184A"/>
    <w:rsid w:val="00312301"/>
    <w:rsid w:val="00320250"/>
    <w:rsid w:val="00326000"/>
    <w:rsid w:val="00327261"/>
    <w:rsid w:val="00335675"/>
    <w:rsid w:val="00337F8C"/>
    <w:rsid w:val="00342217"/>
    <w:rsid w:val="00342766"/>
    <w:rsid w:val="003467D1"/>
    <w:rsid w:val="00346B41"/>
    <w:rsid w:val="00351D92"/>
    <w:rsid w:val="003559D0"/>
    <w:rsid w:val="00357176"/>
    <w:rsid w:val="00366699"/>
    <w:rsid w:val="00367402"/>
    <w:rsid w:val="0037111E"/>
    <w:rsid w:val="00371CBC"/>
    <w:rsid w:val="003733C8"/>
    <w:rsid w:val="00375FE7"/>
    <w:rsid w:val="003765A0"/>
    <w:rsid w:val="00385AE5"/>
    <w:rsid w:val="003947B2"/>
    <w:rsid w:val="00396AEE"/>
    <w:rsid w:val="003A599A"/>
    <w:rsid w:val="003B3757"/>
    <w:rsid w:val="003C52F9"/>
    <w:rsid w:val="003D1434"/>
    <w:rsid w:val="003D4E46"/>
    <w:rsid w:val="003D506A"/>
    <w:rsid w:val="003D5CCE"/>
    <w:rsid w:val="003E1861"/>
    <w:rsid w:val="003E1ACC"/>
    <w:rsid w:val="003E369B"/>
    <w:rsid w:val="003E3B9E"/>
    <w:rsid w:val="003E3E9F"/>
    <w:rsid w:val="003F18B4"/>
    <w:rsid w:val="003F4AB5"/>
    <w:rsid w:val="003F6600"/>
    <w:rsid w:val="00404AC1"/>
    <w:rsid w:val="00407B92"/>
    <w:rsid w:val="00410396"/>
    <w:rsid w:val="00412884"/>
    <w:rsid w:val="00412D00"/>
    <w:rsid w:val="0041797A"/>
    <w:rsid w:val="004223CE"/>
    <w:rsid w:val="00422F29"/>
    <w:rsid w:val="00433804"/>
    <w:rsid w:val="00435F93"/>
    <w:rsid w:val="00436F9B"/>
    <w:rsid w:val="00437A91"/>
    <w:rsid w:val="00444864"/>
    <w:rsid w:val="00446D1C"/>
    <w:rsid w:val="00447213"/>
    <w:rsid w:val="00451499"/>
    <w:rsid w:val="00453F41"/>
    <w:rsid w:val="00455122"/>
    <w:rsid w:val="0047292C"/>
    <w:rsid w:val="00474F44"/>
    <w:rsid w:val="0047583B"/>
    <w:rsid w:val="00480A04"/>
    <w:rsid w:val="00493092"/>
    <w:rsid w:val="00495484"/>
    <w:rsid w:val="004B21FB"/>
    <w:rsid w:val="004B3646"/>
    <w:rsid w:val="004D330D"/>
    <w:rsid w:val="004E0D6B"/>
    <w:rsid w:val="004E3185"/>
    <w:rsid w:val="004E3278"/>
    <w:rsid w:val="004F0434"/>
    <w:rsid w:val="00502491"/>
    <w:rsid w:val="00503606"/>
    <w:rsid w:val="00505069"/>
    <w:rsid w:val="005123E2"/>
    <w:rsid w:val="00513A28"/>
    <w:rsid w:val="00524973"/>
    <w:rsid w:val="00533405"/>
    <w:rsid w:val="00534E1E"/>
    <w:rsid w:val="0053647E"/>
    <w:rsid w:val="005428CE"/>
    <w:rsid w:val="00553B9C"/>
    <w:rsid w:val="00560B10"/>
    <w:rsid w:val="00560B6A"/>
    <w:rsid w:val="0056538A"/>
    <w:rsid w:val="00567603"/>
    <w:rsid w:val="00567D33"/>
    <w:rsid w:val="00570505"/>
    <w:rsid w:val="00572119"/>
    <w:rsid w:val="00576AA2"/>
    <w:rsid w:val="005776C8"/>
    <w:rsid w:val="0058012B"/>
    <w:rsid w:val="00581C2B"/>
    <w:rsid w:val="00587107"/>
    <w:rsid w:val="005A0467"/>
    <w:rsid w:val="005A6778"/>
    <w:rsid w:val="005B070B"/>
    <w:rsid w:val="005B15F3"/>
    <w:rsid w:val="005B50B9"/>
    <w:rsid w:val="005B7801"/>
    <w:rsid w:val="005C16DA"/>
    <w:rsid w:val="005C1A08"/>
    <w:rsid w:val="005C3099"/>
    <w:rsid w:val="005C5693"/>
    <w:rsid w:val="005D4457"/>
    <w:rsid w:val="005D470C"/>
    <w:rsid w:val="005E045B"/>
    <w:rsid w:val="005E7199"/>
    <w:rsid w:val="005F1C03"/>
    <w:rsid w:val="005F7EAF"/>
    <w:rsid w:val="006012E7"/>
    <w:rsid w:val="00602F86"/>
    <w:rsid w:val="00604420"/>
    <w:rsid w:val="00604808"/>
    <w:rsid w:val="00605E3C"/>
    <w:rsid w:val="00607DF0"/>
    <w:rsid w:val="00611694"/>
    <w:rsid w:val="006116C1"/>
    <w:rsid w:val="006157ED"/>
    <w:rsid w:val="006255F2"/>
    <w:rsid w:val="00627AFF"/>
    <w:rsid w:val="00627EC9"/>
    <w:rsid w:val="00633B2E"/>
    <w:rsid w:val="00633EEE"/>
    <w:rsid w:val="00634B51"/>
    <w:rsid w:val="006363BA"/>
    <w:rsid w:val="00637043"/>
    <w:rsid w:val="006424D7"/>
    <w:rsid w:val="0064295F"/>
    <w:rsid w:val="006443DA"/>
    <w:rsid w:val="00644909"/>
    <w:rsid w:val="00650676"/>
    <w:rsid w:val="00655F31"/>
    <w:rsid w:val="006679FD"/>
    <w:rsid w:val="00671635"/>
    <w:rsid w:val="00672C13"/>
    <w:rsid w:val="00673D43"/>
    <w:rsid w:val="00674422"/>
    <w:rsid w:val="006776D0"/>
    <w:rsid w:val="00677A19"/>
    <w:rsid w:val="00681CB1"/>
    <w:rsid w:val="00687C8E"/>
    <w:rsid w:val="00690295"/>
    <w:rsid w:val="00692B96"/>
    <w:rsid w:val="006A3710"/>
    <w:rsid w:val="006A3F1E"/>
    <w:rsid w:val="006A5AC6"/>
    <w:rsid w:val="006A7CED"/>
    <w:rsid w:val="006B3FC8"/>
    <w:rsid w:val="006C0493"/>
    <w:rsid w:val="006C433D"/>
    <w:rsid w:val="006C52E6"/>
    <w:rsid w:val="006E2B51"/>
    <w:rsid w:val="006E3360"/>
    <w:rsid w:val="006E7CF6"/>
    <w:rsid w:val="006F27A8"/>
    <w:rsid w:val="00707030"/>
    <w:rsid w:val="00711957"/>
    <w:rsid w:val="00711C77"/>
    <w:rsid w:val="00723010"/>
    <w:rsid w:val="007239E2"/>
    <w:rsid w:val="00726D57"/>
    <w:rsid w:val="0073064A"/>
    <w:rsid w:val="00731E75"/>
    <w:rsid w:val="00732371"/>
    <w:rsid w:val="00733895"/>
    <w:rsid w:val="00743831"/>
    <w:rsid w:val="00744D14"/>
    <w:rsid w:val="007514B8"/>
    <w:rsid w:val="00755599"/>
    <w:rsid w:val="007649C1"/>
    <w:rsid w:val="0077300D"/>
    <w:rsid w:val="00781AE4"/>
    <w:rsid w:val="0078794D"/>
    <w:rsid w:val="00793CB5"/>
    <w:rsid w:val="00793EC5"/>
    <w:rsid w:val="0079763F"/>
    <w:rsid w:val="007A0AB6"/>
    <w:rsid w:val="007A3360"/>
    <w:rsid w:val="007B240E"/>
    <w:rsid w:val="007B457A"/>
    <w:rsid w:val="007C2227"/>
    <w:rsid w:val="007D2EB0"/>
    <w:rsid w:val="007D687E"/>
    <w:rsid w:val="007E7BB8"/>
    <w:rsid w:val="007F47F1"/>
    <w:rsid w:val="00802047"/>
    <w:rsid w:val="0080250C"/>
    <w:rsid w:val="008071ED"/>
    <w:rsid w:val="00810183"/>
    <w:rsid w:val="008165B1"/>
    <w:rsid w:val="00817105"/>
    <w:rsid w:val="008234F8"/>
    <w:rsid w:val="00830120"/>
    <w:rsid w:val="00831E2F"/>
    <w:rsid w:val="00832B5E"/>
    <w:rsid w:val="00834679"/>
    <w:rsid w:val="00837260"/>
    <w:rsid w:val="00837288"/>
    <w:rsid w:val="00842B22"/>
    <w:rsid w:val="00845993"/>
    <w:rsid w:val="00847C6D"/>
    <w:rsid w:val="0085030C"/>
    <w:rsid w:val="008513B8"/>
    <w:rsid w:val="00852BFD"/>
    <w:rsid w:val="008534F8"/>
    <w:rsid w:val="00854CBC"/>
    <w:rsid w:val="008565E1"/>
    <w:rsid w:val="00860175"/>
    <w:rsid w:val="00861BDB"/>
    <w:rsid w:val="00861D1B"/>
    <w:rsid w:val="00861DFB"/>
    <w:rsid w:val="008631EE"/>
    <w:rsid w:val="008663FF"/>
    <w:rsid w:val="00872795"/>
    <w:rsid w:val="0087460E"/>
    <w:rsid w:val="00876387"/>
    <w:rsid w:val="00883B0E"/>
    <w:rsid w:val="00885A03"/>
    <w:rsid w:val="008959DA"/>
    <w:rsid w:val="008A3627"/>
    <w:rsid w:val="008A401F"/>
    <w:rsid w:val="008B1DDC"/>
    <w:rsid w:val="008C10FC"/>
    <w:rsid w:val="008C277F"/>
    <w:rsid w:val="008C5D0E"/>
    <w:rsid w:val="008D0CCE"/>
    <w:rsid w:val="008D1B2C"/>
    <w:rsid w:val="008D5A2A"/>
    <w:rsid w:val="008E5C0E"/>
    <w:rsid w:val="008E5F27"/>
    <w:rsid w:val="008F3379"/>
    <w:rsid w:val="008F3C4A"/>
    <w:rsid w:val="008F4197"/>
    <w:rsid w:val="008F6953"/>
    <w:rsid w:val="00901941"/>
    <w:rsid w:val="009102AE"/>
    <w:rsid w:val="009164FB"/>
    <w:rsid w:val="009168DE"/>
    <w:rsid w:val="00916F60"/>
    <w:rsid w:val="00931B46"/>
    <w:rsid w:val="00932B94"/>
    <w:rsid w:val="00934C0A"/>
    <w:rsid w:val="00936203"/>
    <w:rsid w:val="009371B2"/>
    <w:rsid w:val="0094053F"/>
    <w:rsid w:val="00946D6B"/>
    <w:rsid w:val="0095141F"/>
    <w:rsid w:val="00955E99"/>
    <w:rsid w:val="00956916"/>
    <w:rsid w:val="00960FCE"/>
    <w:rsid w:val="009618FE"/>
    <w:rsid w:val="00961AD1"/>
    <w:rsid w:val="00965FCB"/>
    <w:rsid w:val="0097020C"/>
    <w:rsid w:val="00970622"/>
    <w:rsid w:val="0097087C"/>
    <w:rsid w:val="00974792"/>
    <w:rsid w:val="00977931"/>
    <w:rsid w:val="0098247A"/>
    <w:rsid w:val="009835D2"/>
    <w:rsid w:val="00986CBD"/>
    <w:rsid w:val="00990864"/>
    <w:rsid w:val="00991040"/>
    <w:rsid w:val="0099284E"/>
    <w:rsid w:val="00994A9B"/>
    <w:rsid w:val="009B0209"/>
    <w:rsid w:val="009B15F0"/>
    <w:rsid w:val="009B279B"/>
    <w:rsid w:val="009C14B0"/>
    <w:rsid w:val="009C225A"/>
    <w:rsid w:val="009C2595"/>
    <w:rsid w:val="009C3A5A"/>
    <w:rsid w:val="009C3F52"/>
    <w:rsid w:val="009C58C5"/>
    <w:rsid w:val="009D0053"/>
    <w:rsid w:val="009D624F"/>
    <w:rsid w:val="009E28DF"/>
    <w:rsid w:val="009E416D"/>
    <w:rsid w:val="009E5D36"/>
    <w:rsid w:val="009E6801"/>
    <w:rsid w:val="009F230F"/>
    <w:rsid w:val="009F6C8C"/>
    <w:rsid w:val="009F77F3"/>
    <w:rsid w:val="00A00C48"/>
    <w:rsid w:val="00A00D67"/>
    <w:rsid w:val="00A00EED"/>
    <w:rsid w:val="00A023D7"/>
    <w:rsid w:val="00A13465"/>
    <w:rsid w:val="00A171BA"/>
    <w:rsid w:val="00A175EE"/>
    <w:rsid w:val="00A330C2"/>
    <w:rsid w:val="00A33180"/>
    <w:rsid w:val="00A424F0"/>
    <w:rsid w:val="00A45F1F"/>
    <w:rsid w:val="00A46F65"/>
    <w:rsid w:val="00A60D34"/>
    <w:rsid w:val="00A62DF5"/>
    <w:rsid w:val="00A63176"/>
    <w:rsid w:val="00A66612"/>
    <w:rsid w:val="00A67F6C"/>
    <w:rsid w:val="00A7159D"/>
    <w:rsid w:val="00A73E1F"/>
    <w:rsid w:val="00A76562"/>
    <w:rsid w:val="00A82CF3"/>
    <w:rsid w:val="00A95A92"/>
    <w:rsid w:val="00A96F6B"/>
    <w:rsid w:val="00AA0C9C"/>
    <w:rsid w:val="00AA2420"/>
    <w:rsid w:val="00AA31A6"/>
    <w:rsid w:val="00AA6D1C"/>
    <w:rsid w:val="00AA7775"/>
    <w:rsid w:val="00AB4693"/>
    <w:rsid w:val="00AB4D21"/>
    <w:rsid w:val="00AB7BC9"/>
    <w:rsid w:val="00AC0FAD"/>
    <w:rsid w:val="00AC10BB"/>
    <w:rsid w:val="00AC4298"/>
    <w:rsid w:val="00AC7C32"/>
    <w:rsid w:val="00AC7E98"/>
    <w:rsid w:val="00AD55E4"/>
    <w:rsid w:val="00AD5DBB"/>
    <w:rsid w:val="00AE031F"/>
    <w:rsid w:val="00AE645D"/>
    <w:rsid w:val="00AF3C22"/>
    <w:rsid w:val="00AF777A"/>
    <w:rsid w:val="00AF79B4"/>
    <w:rsid w:val="00B01FD0"/>
    <w:rsid w:val="00B1051B"/>
    <w:rsid w:val="00B11240"/>
    <w:rsid w:val="00B1324B"/>
    <w:rsid w:val="00B148B6"/>
    <w:rsid w:val="00B200B1"/>
    <w:rsid w:val="00B25300"/>
    <w:rsid w:val="00B34159"/>
    <w:rsid w:val="00B3499D"/>
    <w:rsid w:val="00B437BD"/>
    <w:rsid w:val="00B444D6"/>
    <w:rsid w:val="00B5091A"/>
    <w:rsid w:val="00B51B8D"/>
    <w:rsid w:val="00B53939"/>
    <w:rsid w:val="00B562BB"/>
    <w:rsid w:val="00B63072"/>
    <w:rsid w:val="00B634FB"/>
    <w:rsid w:val="00B63617"/>
    <w:rsid w:val="00B6418A"/>
    <w:rsid w:val="00B65006"/>
    <w:rsid w:val="00B666EF"/>
    <w:rsid w:val="00B66977"/>
    <w:rsid w:val="00B67CE4"/>
    <w:rsid w:val="00B708C3"/>
    <w:rsid w:val="00B70C7A"/>
    <w:rsid w:val="00B747EB"/>
    <w:rsid w:val="00B75FB7"/>
    <w:rsid w:val="00B807D0"/>
    <w:rsid w:val="00B850FD"/>
    <w:rsid w:val="00B9181D"/>
    <w:rsid w:val="00B9317F"/>
    <w:rsid w:val="00B936E9"/>
    <w:rsid w:val="00BA0079"/>
    <w:rsid w:val="00BA0D00"/>
    <w:rsid w:val="00BB645D"/>
    <w:rsid w:val="00BB6584"/>
    <w:rsid w:val="00BC7CB6"/>
    <w:rsid w:val="00BD2878"/>
    <w:rsid w:val="00BD2893"/>
    <w:rsid w:val="00BE144E"/>
    <w:rsid w:val="00BE3C4C"/>
    <w:rsid w:val="00BE55A5"/>
    <w:rsid w:val="00BF1D1D"/>
    <w:rsid w:val="00BF2832"/>
    <w:rsid w:val="00BF419B"/>
    <w:rsid w:val="00C129BF"/>
    <w:rsid w:val="00C17CEB"/>
    <w:rsid w:val="00C20A4B"/>
    <w:rsid w:val="00C2341A"/>
    <w:rsid w:val="00C2354A"/>
    <w:rsid w:val="00C23CD6"/>
    <w:rsid w:val="00C24316"/>
    <w:rsid w:val="00C307F6"/>
    <w:rsid w:val="00C30E8E"/>
    <w:rsid w:val="00C40D18"/>
    <w:rsid w:val="00C43A1F"/>
    <w:rsid w:val="00C4649B"/>
    <w:rsid w:val="00C54CC2"/>
    <w:rsid w:val="00C553F6"/>
    <w:rsid w:val="00C56092"/>
    <w:rsid w:val="00C5741B"/>
    <w:rsid w:val="00C62F72"/>
    <w:rsid w:val="00C648B1"/>
    <w:rsid w:val="00C658C6"/>
    <w:rsid w:val="00C66361"/>
    <w:rsid w:val="00C67029"/>
    <w:rsid w:val="00C71AD6"/>
    <w:rsid w:val="00C71CA9"/>
    <w:rsid w:val="00C73113"/>
    <w:rsid w:val="00C73181"/>
    <w:rsid w:val="00C83E6C"/>
    <w:rsid w:val="00C87BA8"/>
    <w:rsid w:val="00C925AD"/>
    <w:rsid w:val="00C92B68"/>
    <w:rsid w:val="00C93FCF"/>
    <w:rsid w:val="00CA66B0"/>
    <w:rsid w:val="00CA6DEA"/>
    <w:rsid w:val="00CB1D8C"/>
    <w:rsid w:val="00CB39C8"/>
    <w:rsid w:val="00CB61FD"/>
    <w:rsid w:val="00CB6E6D"/>
    <w:rsid w:val="00CC654C"/>
    <w:rsid w:val="00CD22D9"/>
    <w:rsid w:val="00CD25F5"/>
    <w:rsid w:val="00CD5BC7"/>
    <w:rsid w:val="00CD5EDD"/>
    <w:rsid w:val="00CD670F"/>
    <w:rsid w:val="00CD73EE"/>
    <w:rsid w:val="00CD7CB0"/>
    <w:rsid w:val="00CF1587"/>
    <w:rsid w:val="00CF2F65"/>
    <w:rsid w:val="00CF4AD4"/>
    <w:rsid w:val="00D0020A"/>
    <w:rsid w:val="00D10EF3"/>
    <w:rsid w:val="00D1110C"/>
    <w:rsid w:val="00D14E9E"/>
    <w:rsid w:val="00D16917"/>
    <w:rsid w:val="00D16C0B"/>
    <w:rsid w:val="00D32C37"/>
    <w:rsid w:val="00D33C12"/>
    <w:rsid w:val="00D33D43"/>
    <w:rsid w:val="00D3740C"/>
    <w:rsid w:val="00D5173B"/>
    <w:rsid w:val="00D54849"/>
    <w:rsid w:val="00D63F43"/>
    <w:rsid w:val="00D70D10"/>
    <w:rsid w:val="00D757F0"/>
    <w:rsid w:val="00D758E7"/>
    <w:rsid w:val="00D80828"/>
    <w:rsid w:val="00D84009"/>
    <w:rsid w:val="00D8501A"/>
    <w:rsid w:val="00D931B5"/>
    <w:rsid w:val="00D96916"/>
    <w:rsid w:val="00D974D0"/>
    <w:rsid w:val="00D9750D"/>
    <w:rsid w:val="00D97890"/>
    <w:rsid w:val="00DA205C"/>
    <w:rsid w:val="00DA504D"/>
    <w:rsid w:val="00DA5D4D"/>
    <w:rsid w:val="00DA6569"/>
    <w:rsid w:val="00DA74C8"/>
    <w:rsid w:val="00DA7ECF"/>
    <w:rsid w:val="00DB0C25"/>
    <w:rsid w:val="00DB168B"/>
    <w:rsid w:val="00DB34DE"/>
    <w:rsid w:val="00DB49AF"/>
    <w:rsid w:val="00DB6890"/>
    <w:rsid w:val="00DB6EBA"/>
    <w:rsid w:val="00DB7212"/>
    <w:rsid w:val="00DC2AD9"/>
    <w:rsid w:val="00DC58FA"/>
    <w:rsid w:val="00DD68A6"/>
    <w:rsid w:val="00DE1012"/>
    <w:rsid w:val="00DE11D3"/>
    <w:rsid w:val="00DE14DB"/>
    <w:rsid w:val="00DE59E0"/>
    <w:rsid w:val="00DF19F6"/>
    <w:rsid w:val="00DF47CA"/>
    <w:rsid w:val="00E031CB"/>
    <w:rsid w:val="00E05E6C"/>
    <w:rsid w:val="00E07F5A"/>
    <w:rsid w:val="00E15B72"/>
    <w:rsid w:val="00E176D1"/>
    <w:rsid w:val="00E22CEF"/>
    <w:rsid w:val="00E24708"/>
    <w:rsid w:val="00E401FC"/>
    <w:rsid w:val="00E40B1E"/>
    <w:rsid w:val="00E41622"/>
    <w:rsid w:val="00E436F7"/>
    <w:rsid w:val="00E47153"/>
    <w:rsid w:val="00E50ACE"/>
    <w:rsid w:val="00E549C6"/>
    <w:rsid w:val="00E56BD6"/>
    <w:rsid w:val="00E572C6"/>
    <w:rsid w:val="00E620EA"/>
    <w:rsid w:val="00E62EC0"/>
    <w:rsid w:val="00E63E80"/>
    <w:rsid w:val="00E64617"/>
    <w:rsid w:val="00E80C48"/>
    <w:rsid w:val="00E82639"/>
    <w:rsid w:val="00E85FAA"/>
    <w:rsid w:val="00E877B9"/>
    <w:rsid w:val="00E91A86"/>
    <w:rsid w:val="00EA4072"/>
    <w:rsid w:val="00EA4637"/>
    <w:rsid w:val="00EA7961"/>
    <w:rsid w:val="00EB1497"/>
    <w:rsid w:val="00EB2E6F"/>
    <w:rsid w:val="00EB369A"/>
    <w:rsid w:val="00EB4BC4"/>
    <w:rsid w:val="00EB4EA0"/>
    <w:rsid w:val="00EB5803"/>
    <w:rsid w:val="00EB5884"/>
    <w:rsid w:val="00EB7B22"/>
    <w:rsid w:val="00ED2110"/>
    <w:rsid w:val="00ED2193"/>
    <w:rsid w:val="00EF700C"/>
    <w:rsid w:val="00F02A8E"/>
    <w:rsid w:val="00F03C0C"/>
    <w:rsid w:val="00F14B3E"/>
    <w:rsid w:val="00F1702F"/>
    <w:rsid w:val="00F2236B"/>
    <w:rsid w:val="00F25273"/>
    <w:rsid w:val="00F258FB"/>
    <w:rsid w:val="00F260FA"/>
    <w:rsid w:val="00F26858"/>
    <w:rsid w:val="00F27EDD"/>
    <w:rsid w:val="00F352CE"/>
    <w:rsid w:val="00F50128"/>
    <w:rsid w:val="00F531FA"/>
    <w:rsid w:val="00F57025"/>
    <w:rsid w:val="00F6101C"/>
    <w:rsid w:val="00F6148C"/>
    <w:rsid w:val="00F63514"/>
    <w:rsid w:val="00F720AB"/>
    <w:rsid w:val="00F923C6"/>
    <w:rsid w:val="00F92CE9"/>
    <w:rsid w:val="00F941AA"/>
    <w:rsid w:val="00F94FE8"/>
    <w:rsid w:val="00FA6D54"/>
    <w:rsid w:val="00FB53F3"/>
    <w:rsid w:val="00FB72FB"/>
    <w:rsid w:val="00FB7D52"/>
    <w:rsid w:val="00FC2ABA"/>
    <w:rsid w:val="00FC7E8D"/>
    <w:rsid w:val="00FD207F"/>
    <w:rsid w:val="00FD2473"/>
    <w:rsid w:val="00FD3E93"/>
    <w:rsid w:val="00FD4560"/>
    <w:rsid w:val="00FD4A68"/>
    <w:rsid w:val="00FD4D4C"/>
    <w:rsid w:val="00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C7F"/>
  <w15:docId w15:val="{0583FF73-459D-4193-9158-FABE452A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81D"/>
    <w:pPr>
      <w:spacing w:after="0" w:line="276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8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Tekstpodstawowy"/>
    <w:link w:val="Nagwek6Znak"/>
    <w:qFormat/>
    <w:rsid w:val="0047292C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B9181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181D"/>
    <w:rPr>
      <w:rFonts w:eastAsia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7292C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styleId="Hipercze">
    <w:name w:val="Hyperlink"/>
    <w:basedOn w:val="Domylnaczcionkaakapitu"/>
    <w:uiPriority w:val="99"/>
    <w:unhideWhenUsed/>
    <w:rsid w:val="004729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292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9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9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92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4729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92C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7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76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6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69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8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C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A7CED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EC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B807D0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807D0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60175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02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1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epnosc.pfron.org.pl/proces-skargowy-w-podmiotach-publicznych/jak-zlozyc-wniosek-o-zapewnienie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fundusze-regiony/raport-o-dostepnosci-podmiotow-publicznych" TargetMode="External"/><Relationship Id="rId2" Type="http://schemas.openxmlformats.org/officeDocument/2006/relationships/hyperlink" Target="https://www.gov.pl/web/fundusze-regiony/konsultacje-projektu-ustawy-o-dostepnosci-niektorych-produktow-i-uslug--czekamy-na-twoj-glos" TargetMode="External"/><Relationship Id="rId1" Type="http://schemas.openxmlformats.org/officeDocument/2006/relationships/hyperlink" Target="https://legislacja.gov.pl/docs/2/12358257/12865990/12865992/dokument565790.pdf" TargetMode="External"/><Relationship Id="rId6" Type="http://schemas.openxmlformats.org/officeDocument/2006/relationships/hyperlink" Target="https://www.gov.pl/web/sluzbacywilna/prosty-jezyk" TargetMode="External"/><Relationship Id="rId5" Type="http://schemas.openxmlformats.org/officeDocument/2006/relationships/hyperlink" Target="https://zpe.gov.pl/pdf/P17Ib7LYC" TargetMode="External"/><Relationship Id="rId4" Type="http://schemas.openxmlformats.org/officeDocument/2006/relationships/hyperlink" Target="https://www.youtube.com/watch?v=mDzaHRCkld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F8E8-908F-42E1-90AE-E675DA31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3175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29 posiedzenia Zespołu do spraw wykonywania postanowień Konwencji</vt:lpstr>
    </vt:vector>
  </TitlesOfParts>
  <Company/>
  <LinksUpToDate>false</LinksUpToDate>
  <CharactersWithSpaces>22182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29 posiedzenia Zespołu do spraw wykonywania postanowień Konwencji</dc:title>
  <dc:subject/>
  <dc:creator>Agata Jaworska</dc:creator>
  <cp:keywords/>
  <dc:description/>
  <cp:lastModifiedBy>Ewa Dabrowska</cp:lastModifiedBy>
  <cp:revision>2</cp:revision>
  <cp:lastPrinted>2021-10-14T12:07:00Z</cp:lastPrinted>
  <dcterms:created xsi:type="dcterms:W3CDTF">2022-09-20T09:32:00Z</dcterms:created>
  <dcterms:modified xsi:type="dcterms:W3CDTF">2022-09-20T09:32:00Z</dcterms:modified>
</cp:coreProperties>
</file>